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Театр и 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Театр и 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, а также 7 классов (при наличии высоких достижений)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5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highlight w:val="white"/>
        </w:rPr>
        <w:t xml:space="preserve">К обучению по программе не допускаются участники профильной интенсивной смены «Взгляд из-за рампы» (01.10.2023 – 15.10.2023).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51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«Театр и мы»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22.11.2023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06.12.2023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создание условий для формирования самостоятельной, творчески-активной личности, готовой к самореализации посредством актерского мастерства, формирование и раскрытие творческой индивидуа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льности ребенка средствами театральной педагогики в условиях обучения в Региональном центре выявления, поддержки и развития способностей и талантов детей и молодежи Новгородской области «Онфим».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 знакомство с театром как видом искусства, сущностью театрального исполнительского творчества;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 обучение первоначальным навыкам исполнительского мастерства;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расширение знаний актёрского и речевого тренинга;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совершенствование приемов работы над сценическим словом, сценическим образом, сценической пластикой.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выявление и раскрытие творческого потенциала каждого ребенка;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итие творческих способностей и индивидуальности учащегося средствами театрального искусства;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устранение мышечного напряжения и психофизических зажимов;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развитие голосо-речевой и пластической выразительности;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pStyle w:val="849"/>
        <w:contextualSpacing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совершенствование способности содержательн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ой аналитической работы в современном медиапространстве, умения корректной интерпретации, применения приобретенных познавательных сведений;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воспитание са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модисциплины, коммуникативности и культуры общения;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 формирование личности, творчески относящейся к любому делу;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воспитание ценностных критериев, отбора жизненных и художественных ценностей и ориентиров;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 формирование у обучающихся навыков саморазвития и самовоспитания, готовности и способности к самостоятельной творческой 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b/>
          <w:bCs/>
          <w:color w:val="000000" w:themeColor="text1"/>
        </w:rPr>
      </w:r>
    </w:p>
    <w:p>
      <w:pPr>
        <w:contextualSpacing/>
        <w:ind w:left="72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5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конкурсных мероприятиях по направлению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5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49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51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Программа ориентирована на развитие общей и эстетической культуры учащихся, художественных способностей и склонностей, приобретение знаний и практики в области театрального искусства: развитие   актерских способностей, воспитание голосо-речевой и пластичес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кой выразительности, совершенствование приемов работы над сценическим словом и сценическим образом, носит ярко выраженный креативный характер, предусматривая возможность творческого самовыражения, творческой импровизации. Предмет изучения программы - основ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ы театрального искусства, азы актерского исполнительского мастерства, программа включает в себя овладение   элементами внутренней и внешней актерской техники   через   трени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hyperlink r:id="rId12" w:tooltip="https://xn--e1agmcafnpvn.xn--p1ai/lectors/verdysh-svetlana-viktorovna/" w:history="1">
        <w:r>
          <w:rPr>
            <w:rStyle w:val="850"/>
            <w:rFonts w:ascii="Times New Roman" w:hAnsi="Times New Roman" w:eastAsia="Arial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Вердыш Светлана Викторовна</w:t>
        </w:r>
        <w:r>
          <w:rPr>
            <w:rStyle w:val="850"/>
            <w:rFonts w:ascii="Times New Roman" w:hAnsi="Times New Roman" w:eastAsia="Arial" w:cs="Times New Roman"/>
            <w:b/>
            <w:color w:val="000000" w:themeColor="text1"/>
            <w:sz w:val="24"/>
            <w:szCs w:val="24"/>
            <w:highlight w:val="none"/>
            <w:u w:val="none"/>
          </w:rPr>
          <w:t xml:space="preserve">, </w:t>
        </w:r>
      </w:hyperlink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педагог высшей квалификационной категории,  преподаватель режиссуры и актерского мастерства ГБПОУ «Новгородский областной колледж искусств им. С.В. Рахманинова»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5"/>
    <w:next w:val="84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5"/>
    <w:next w:val="84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5"/>
    <w:next w:val="845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5"/>
    <w:next w:val="845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character" w:styleId="850">
    <w:name w:val="Hyperlink"/>
    <w:basedOn w:val="846"/>
    <w:uiPriority w:val="99"/>
    <w:unhideWhenUsed/>
    <w:rPr>
      <w:color w:val="0000ff" w:themeColor="hyperlink"/>
      <w:u w:val="single"/>
    </w:rPr>
  </w:style>
  <w:style w:type="paragraph" w:styleId="851">
    <w:name w:val="No Spacing"/>
    <w:uiPriority w:val="1"/>
    <w:qFormat/>
    <w:pPr>
      <w:spacing w:after="0" w:line="240" w:lineRule="auto"/>
    </w:pPr>
  </w:style>
  <w:style w:type="paragraph" w:styleId="852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verdysh-svetlana-viktorovn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13</cp:revision>
  <dcterms:created xsi:type="dcterms:W3CDTF">2023-08-22T05:54:00Z</dcterms:created>
  <dcterms:modified xsi:type="dcterms:W3CDTF">2023-12-06T07:38:06Z</dcterms:modified>
</cp:coreProperties>
</file>