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center"/>
        <w:spacing w:line="360" w:lineRule="auto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РЕГИОНАЛЬНОМ ТРЕКЕ (КОНКУРСЕ)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567"/>
        <w:jc w:val="center"/>
        <w:spacing w:line="360" w:lineRule="auto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ВСЕРОССИЙСКОГО КОНКУРСА НАУЧНО-ТЕХНОЛОГИЧЕСКИХ ПРОЕКТОВ «БОЛЬШИЕ ВЫЗОВЫ» В 2023/2024 УЧЕБНОМ ГОДУ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567"/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НОВГОРОДСКАЯ ОБЛАСТЬ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center"/>
        <w:spacing w:line="360" w:lineRule="auto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567"/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 Общие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Настоящее Положение разработано в соответствии с Положением о Всероссийском конкурсе научно-технологических проектов «Большие вызовы» в 2023/2024 учебном году.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порядок, условия, этапы и сроки проведения регионального трека (конкурса) Всероссийского конкурса научно-технологических проектов «Большие вызовы», проводимого в 2023/2024 учебном году (</w:t>
      </w:r>
      <w:r>
        <w:rPr>
          <w:b/>
          <w:sz w:val="28"/>
          <w:szCs w:val="28"/>
        </w:rPr>
        <w:t xml:space="preserve">далее – Региональный конкурс</w:t>
      </w:r>
      <w:r>
        <w:rPr>
          <w:sz w:val="28"/>
          <w:szCs w:val="28"/>
        </w:rPr>
        <w:t xml:space="preserve">), перечень направлений, п</w:t>
      </w:r>
      <w:r>
        <w:rPr>
          <w:sz w:val="28"/>
          <w:szCs w:val="28"/>
        </w:rPr>
        <w:t xml:space="preserve">о которым он проводится, организационно-технологическую модель проведения Регионального конкурса, требования к его участникам, устанавливает правила утверждения результатов Регионального конкурса и определения победителей и призеров Регионального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Региональный конкурс является отборочным этапом Всероссийского конкурса научно-технологических проектов «Большие вызовы» (далее – Конкурс «Большие вызовы»), организуется и проводится при методологической поддержке Фонда «Талант и успех».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Организатором Конкурса «Большие вызовы», (дистанционного и заключительного этапов) является Фонд «Талант и успех» (далее – организатор Конкурса «Большие вызовы»).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Региональны</w:t>
      </w:r>
      <w:r>
        <w:rPr>
          <w:sz w:val="28"/>
          <w:szCs w:val="28"/>
        </w:rPr>
        <w:t xml:space="preserve">й конкурс проводится в целях выявления и развития у обучающихся творческих способностей и интереса к проектной, научной (научно-исследовательской), инженерно-технической, изобретательской, творческой деятельности, популяризации научных знаний и достижений.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Задачи Регионального конкурса: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6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развитие интеллектуально-творческих способностей обучающихся, их интереса к научно-исследовательской деятельности и техническому творчеству;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6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навыков проектной и исследовательской работы обучающихся;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6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стимулирование у учащихся интереса к естественным наукам, технике и технологиям;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6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 пропаганда научных знаний;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6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выявление одаренных детей в области проектной и исследовательской деятельности;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6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распространение модели организации обучения в форме командных проектов научно-прикладного характера;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6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вовлечение экспертов различных областей в работу с </w:t>
      </w:r>
      <w:r>
        <w:rPr>
          <w:sz w:val="28"/>
          <w:szCs w:val="28"/>
        </w:rPr>
        <w:t xml:space="preserve">обучающимися</w:t>
      </w:r>
      <w:r>
        <w:rPr>
          <w:sz w:val="28"/>
          <w:szCs w:val="28"/>
        </w:rPr>
        <w:t xml:space="preserve">, формирование сети экспертов по направлениям конкурса;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6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решение актуальных для региона научно-исследовательских, инженерно-конструкторских и инновационных задач;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6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развитие региональных центров выявления, поддержки и развития талантов и способностей у детей и молодежи, созданных с учетом опыта Образовательного центра «Сириус».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Тематические направления Регионального конкурса формируются с учетом Стратегии научно-технологического развития РФ (далее – СНТР) и соответствуют заявленным в СНТР </w:t>
      </w:r>
      <w:r>
        <w:rPr>
          <w:sz w:val="28"/>
          <w:szCs w:val="28"/>
        </w:rPr>
        <w:t xml:space="preserve">приоритетам научно-технологического развития, одному или нескольким общеобразовательным предметам, междисциплинарным направлениям или специальностям и направлениям подготовки высшего образования. Перечень тематических направлений приведен в Приложении № 1.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 Регионального конкурса: https://центронфим</w:t>
      </w:r>
      <w:r>
        <w:rPr>
          <w:sz w:val="28"/>
          <w:szCs w:val="28"/>
        </w:rPr>
        <w:t xml:space="preserve">.р</w:t>
      </w:r>
      <w:r>
        <w:rPr>
          <w:sz w:val="28"/>
          <w:szCs w:val="28"/>
        </w:rPr>
        <w:t xml:space="preserve">ф/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Региональный конкурс проводится на территории Новгородской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Официальным языком проведения Регионального конкурса является русский язык.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Обучающиеся</w:t>
      </w:r>
      <w:r>
        <w:rPr>
          <w:sz w:val="28"/>
          <w:szCs w:val="28"/>
        </w:rPr>
        <w:t xml:space="preserve"> принимают участие в Региональном конкурсе на добровольной основе. Взимание платы за участие в Региональном конкурсе не допускается.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ind w:left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2"/>
        </w:numPr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Организаторы и участники Регионального конкурса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b/>
          <w:sz w:val="28"/>
          <w:szCs w:val="28"/>
        </w:rPr>
      </w:pPr>
      <w:r>
        <w:rPr>
          <w:sz w:val="28"/>
          <w:szCs w:val="28"/>
        </w:rPr>
        <w:t xml:space="preserve">Организатором Регионального конкурса является Государственное областное автономное общеобразовательное учреждение «Гимназия №3» Региональный центр выявления, поддержки и развития способностей и талантов детей и молодежи  Новгородской области  «Онфим».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numPr>
          <w:ilvl w:val="1"/>
          <w:numId w:val="2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Организатор Регионального конкурса: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2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устанавливает список направлений, по которым проводится Региональный конкурс в Новгородской области (Приложение №1);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2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создает и сопровождает официальный сайт Регионального конкурса;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формирует оргкомитет Регионального конкурса и утверждает его состав;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осуществляет публикацию информации об организационном комитете Регионального конкурса, в том числе с указанием контактных данных организационного комитета Регионального конкурса на официальном сайте Регионального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формирует экспертные комиссии Регионального конкурса по каждому направлению и утверждает их составы;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устанавливает формат </w:t>
      </w:r>
      <w:r>
        <w:rPr>
          <w:sz w:val="28"/>
          <w:szCs w:val="28"/>
        </w:rPr>
        <w:t xml:space="preserve">представления результатов участников отборочных этапов Регионального конкурса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устанавливает количество баллов для участия в финальном этапе Регионального конкурса по каждому направлению;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обеспечивает хранение представленных участниками проектных работ Регионального конкурса;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</w:t>
      </w:r>
      <w:r>
        <w:rPr>
          <w:sz w:val="28"/>
          <w:szCs w:val="28"/>
        </w:rPr>
        <w:t xml:space="preserve">программам основного общего и среднего общего образования, расположенных на территории соответст</w:t>
      </w:r>
      <w:r>
        <w:rPr>
          <w:sz w:val="28"/>
          <w:szCs w:val="28"/>
        </w:rPr>
        <w:t xml:space="preserve">вующего субъекта Российской Федерации, участников регионального конкурса и их родителей (законных представителей) о сроках и местах проведения Регионального конкурса по каждому этапу, требованиях к организации и проведению Регионального конкурса, а также 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Положении</w:t>
      </w:r>
      <w:r>
        <w:rPr>
          <w:sz w:val="28"/>
          <w:szCs w:val="28"/>
        </w:rPr>
        <w:t xml:space="preserve"> (регламенте) Регионального конкурса;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осуществляет продвижение Регионального конкурса среди его целевой аудитории;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освещает ход Регионального конкурса в СМИ, сети Интернет и иных информационных ресурсах;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обеспечивает широкое информирование обучающихся и педагогов образовательных организаций региона, муниципальных органов управления образованием и иных заинтересованных лиц о порядке и ходе проведения Регионального конкурса;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осуществляет консультирование потенциальных участников Регионального конкурса, руководителей (наставников) школьных проектов, экспертов и иных заинтересованных лиц по вопросам проведения Регионального конкурса;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обеспечивает консультационно-методическую поддержку организаторов отборочных этапов Регионального конкурса, в том числе путем организации и проведения программ повышения квалификации, установочных семинаров, </w:t>
      </w:r>
      <w:r>
        <w:rPr>
          <w:sz w:val="28"/>
          <w:szCs w:val="28"/>
        </w:rPr>
        <w:t xml:space="preserve">вебинаров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определяет квоты победителей и призеров Регионального конкурса;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утверждает результаты Реги</w:t>
      </w:r>
      <w:r>
        <w:rPr>
          <w:sz w:val="28"/>
          <w:szCs w:val="28"/>
        </w:rPr>
        <w:t xml:space="preserve">онального конкурса по каждому направлению (рейтинг победителей и рейтинг призеров Регионального конкурса), в том числе протоколы экспертных комиссий Регионального конкурса по каждому направлению, и публикует их на своем официальном сайте в сети «Интернет»;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публикует на своем официальном сайте в сети «Интернет» конкурсные работы победителей и призеров Регионального конкурса с указанием сведений об участниках;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передает не позднее 1 апреля текущего учебного года результаты участников Регионального конкурса по каждому направлению организатору заключительного этапа Конкурса «Большие вызовы» в формате, установленном организаторами Конкурса «Большие вызовы»;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награждает победителей и призеров Регионального конкурса дипломами, а также руководителей проектов поощрительными грамотами;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организует проведение первого тура заключительного этапа конкурса «Большие вызовы» на своей площадке;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line="360" w:lineRule="auto"/>
        <w:shd w:val="clear" w:color="auto" w:fill="ffff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осуществляет организационное и финансовое обеспечение проведения финала Регионального конкурса и участия в заключительном этапе Конкурса «Большие </w:t>
      </w:r>
      <w:r>
        <w:rPr>
          <w:sz w:val="28"/>
          <w:szCs w:val="28"/>
        </w:rPr>
        <w:t xml:space="preserve">вызовы» победителей и призеров Регионального конкурса и Дистанционного конкурса, обучающихся на территории Новгородской области, в том числе обеспечивает наличие видеосвязи участников заключительного этапа Конкурса «Большие вызовы», в случае необходимости.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Организатор Регионального конкурса вправе привлекать к проведению Регионального конкурса образовательные и научные организации, государственные и негосударственные корпорации, технологических и индустриальных партнеров, общественные и иные организации.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Оргкомитет Регионального конкурса: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4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определяет организационно-технологическую модель проведения регионального конкурса, оформляет Положение (регламент проведения) Регионального конкурса и обеспечивает его согласование с организатором Конкурса «Большие вызовы»;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4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обеспечивает регистрацию участников и экспертов Регионального конкурса на </w:t>
      </w:r>
      <w:r>
        <w:rPr>
          <w:sz w:val="28"/>
          <w:szCs w:val="28"/>
        </w:rPr>
        <w:t xml:space="preserve">онлайн-платформе</w:t>
      </w:r>
      <w:r>
        <w:rPr>
          <w:sz w:val="28"/>
          <w:szCs w:val="28"/>
        </w:rPr>
        <w:t xml:space="preserve"> организатор Конкурса «Большие вызовы»;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4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может проводить выборочные проверки соответствия предоставляемой участниками конкурса информации, в том числе о предоставляемой на конкурс проектной работе (например: авторство, оригинальность и 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.п</w:t>
      </w:r>
      <w:r>
        <w:rPr>
          <w:sz w:val="28"/>
          <w:szCs w:val="28"/>
        </w:rPr>
        <w:t xml:space="preserve">);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4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обеспечивает организацию и проведение Регионального конкурса в соответствии с утвержденными требованиями к проведению Регионального конкурса, настоящим Положением и действующими на мо</w:t>
      </w:r>
      <w:r>
        <w:rPr>
          <w:sz w:val="28"/>
          <w:szCs w:val="28"/>
        </w:rPr>
        <w:t xml:space="preserve">мент проведения Конкурса «Большие вызовы»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4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обеспечивает в установленные сроки направление всей необходимой информации в Центральный организационный комитет Конкурса «Большие вызовы»;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4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обеспечивает, при необходимости, участников Регионального конкурса проживанием и питанием на время его проведения в соответствии с действующими на момент проведения Конкурса «Большие вызовы» санитарно-эпидемиологическими правилами и нормами;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4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несет ответственность за жизнь и здоровье участников Регионального конкурса во время проведения финала Регионального конкурса и первого тура заключительного этапа Конкурса «Большие вызовы».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"/>
        </w:numPr>
        <w:contextualSpacing/>
        <w:ind w:left="0" w:firstLine="567"/>
        <w:jc w:val="both"/>
        <w:spacing w:line="360" w:lineRule="auto"/>
        <w:shd w:val="clear" w:color="auto" w:fill="ffffff"/>
      </w:pPr>
      <w:r>
        <w:rPr>
          <w:sz w:val="28"/>
          <w:szCs w:val="28"/>
        </w:rPr>
        <w:t xml:space="preserve">Состав оргкомитета Регионального конкурса (Приложение №7) формируется из представителей Министерства образования и науки Новгородской области,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представителей Государственное областное автономное общеобразовательное учреждение «Гимназия №3» Региональный центр выявления, поддержки и развития способностей и талантов детей и молодежи  Новгородской области  «Онфим»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педагогических, научно-педагогических работников, экспертов от компаний, научных институтов и региональных организаций, иных квалифицированных специалистов.</w:t>
      </w:r>
      <w:r/>
    </w:p>
    <w:p>
      <w:pPr>
        <w:numPr>
          <w:ilvl w:val="1"/>
          <w:numId w:val="2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Экспертные комиссии Регионального конкурса: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оценивают выполненные конкурсные задания / проекты в соответствии с утвержденными критериями и методиками оценивания;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представляют результаты Регионального конкурса его участникам;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определяют победителей и призеров Регионального конкурса на основании рейтинга по каждому направлению и в соответствии с квотой, установленной организатором Регионального конкурса;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представляют организатору Регионального конкурса результаты финала Регионального конкурса (протоколы) для их утверждения.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Региональном конкурсе принимают участие (далее – участники Регионального конкурса):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а) обучающиеся из Новгородской области, являющиеся гражданами Российской Федерации, осваивающие образовательные программы основного общего и среднего общего образования (уровень 7-11 классов);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б) обучающиеся из Новгородской области, являющиеся гражданами Российской Федерации, осваивающие образовательные программы среднего профессионального образования (1-2 курсы), не </w:t>
      </w:r>
      <w:r>
        <w:rPr>
          <w:sz w:val="28"/>
          <w:szCs w:val="28"/>
        </w:rPr>
        <w:t xml:space="preserve">достигшее</w:t>
      </w:r>
      <w:r>
        <w:rPr>
          <w:sz w:val="28"/>
          <w:szCs w:val="28"/>
        </w:rPr>
        <w:t xml:space="preserve"> 19 лет, на момент окончания Конкурса «Большие вызовы».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Сроки проведения Регионального конкурса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436" w:firstLine="131"/>
        <w:jc w:val="both"/>
        <w:spacing w:line="360" w:lineRule="auto"/>
        <w:shd w:val="clear" w:color="auto" w:fill="ffffff"/>
        <w:rPr>
          <w:b/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>
        <w:rPr>
          <w:b/>
          <w:sz w:val="28"/>
          <w:szCs w:val="28"/>
        </w:rPr>
        <w:t xml:space="preserve">с 20 ноября по 28 марта текущего учебного года.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Этапы проведения Регионального конкурса: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1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Прием заявок с 20 ноября по 15 февраля текущего учебного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1"/>
        </w:numPr>
        <w:contextualSpacing/>
        <w:ind w:left="0" w:firstLine="567"/>
        <w:jc w:val="both"/>
        <w:spacing w:line="360" w:lineRule="auto"/>
        <w:shd w:val="clear" w:color="auto" w:fill="ffffff"/>
        <w:rPr>
          <w:b/>
          <w:sz w:val="28"/>
          <w:szCs w:val="28"/>
        </w:rPr>
      </w:pPr>
      <w:r>
        <w:rPr>
          <w:sz w:val="28"/>
          <w:szCs w:val="28"/>
        </w:rPr>
        <w:t xml:space="preserve">Отборочный этап конкурса проводится </w:t>
      </w:r>
      <w:r>
        <w:rPr>
          <w:b/>
          <w:sz w:val="28"/>
          <w:szCs w:val="28"/>
        </w:rPr>
        <w:t xml:space="preserve">с 16 февраля  по  11 марта</w:t>
      </w:r>
      <w:r>
        <w:rPr>
          <w:b/>
          <w:sz w:val="28"/>
          <w:szCs w:val="28"/>
          <w:highlight w:val="yellow"/>
        </w:rPr>
        <w:t xml:space="preserve"> </w:t>
      </w:r>
      <w:r>
        <w:rPr>
          <w:sz w:val="28"/>
          <w:szCs w:val="28"/>
        </w:rPr>
        <w:t xml:space="preserve"> текущего учебного года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numPr>
          <w:ilvl w:val="0"/>
          <w:numId w:val="11"/>
        </w:numPr>
        <w:contextualSpacing/>
        <w:ind w:left="0" w:firstLine="567"/>
        <w:jc w:val="both"/>
        <w:spacing w:line="360" w:lineRule="auto"/>
        <w:shd w:val="clear" w:color="auto" w:fill="ffffff"/>
        <w:rPr>
          <w:b/>
          <w:sz w:val="28"/>
          <w:szCs w:val="28"/>
        </w:rPr>
      </w:pPr>
      <w:r>
        <w:rPr>
          <w:sz w:val="28"/>
          <w:szCs w:val="28"/>
        </w:rPr>
        <w:t xml:space="preserve">Финальный этап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конкурса проводится </w:t>
      </w:r>
      <w:r>
        <w:rPr>
          <w:b/>
          <w:sz w:val="28"/>
          <w:szCs w:val="28"/>
        </w:rPr>
        <w:t xml:space="preserve">с 18 марта по 28 марта  </w:t>
      </w:r>
      <w:r>
        <w:rPr>
          <w:sz w:val="28"/>
          <w:szCs w:val="28"/>
        </w:rPr>
        <w:t xml:space="preserve">текущего учебного года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23"/>
        <w:numPr>
          <w:ilvl w:val="0"/>
          <w:numId w:val="25"/>
        </w:numPr>
        <w:jc w:val="center"/>
        <w:spacing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участия в Региональном конкурсе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/>
      <w:bookmarkStart w:id="0" w:name="distant_rules"/>
      <w:r/>
      <w:bookmarkEnd w:id="0"/>
      <w:r>
        <w:rPr>
          <w:sz w:val="28"/>
          <w:szCs w:val="28"/>
        </w:rPr>
        <w:t xml:space="preserve">Участники Регионального конкурса описаны в пункте 2.7 настоящего Положения.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Для участия в Региональном конкурсе всем участникам в обязательном порядке необходимо подать заявку в срок до 15 февраля (включительно) текущего учебного года: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450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А) в системе «</w:t>
      </w:r>
      <w:r>
        <w:rPr>
          <w:sz w:val="28"/>
          <w:szCs w:val="28"/>
        </w:rPr>
        <w:t xml:space="preserve">Сириус</w:t>
      </w:r>
      <w:r>
        <w:rPr>
          <w:sz w:val="28"/>
          <w:szCs w:val="28"/>
        </w:rPr>
        <w:t xml:space="preserve">.О</w:t>
      </w:r>
      <w:r>
        <w:rPr>
          <w:sz w:val="28"/>
          <w:szCs w:val="28"/>
        </w:rPr>
        <w:t xml:space="preserve">нлайн</w:t>
      </w:r>
      <w:r>
        <w:rPr>
          <w:sz w:val="28"/>
          <w:szCs w:val="28"/>
        </w:rPr>
        <w:t xml:space="preserve">» (http://online.sochisirius.ru), заполнить все обязательные поля.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450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Б) заявку по форме (Приложение №6) на электронную почту Регионального центра «Онфим»: </w:t>
      </w:r>
      <w:r>
        <w:rPr>
          <w:sz w:val="28"/>
          <w:szCs w:val="28"/>
          <w:lang w:val="en-US"/>
        </w:rPr>
        <w:t xml:space="preserve">onfim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gimnazium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срок до 15 февраля (включитель</w:t>
      </w:r>
      <w:r>
        <w:rPr>
          <w:sz w:val="28"/>
          <w:szCs w:val="28"/>
        </w:rPr>
        <w:t xml:space="preserve">но) текущего учебного года каждому участнику необходимо загрузить в поданную заявку свою конкурсную работу, состоящую из двух файлов: текстового описания и презентации. Требования к оформлению текстового описания конкурсной работы приведены в Приложении №2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450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А) в систему «</w:t>
      </w:r>
      <w:r>
        <w:rPr>
          <w:sz w:val="28"/>
          <w:szCs w:val="28"/>
        </w:rPr>
        <w:t xml:space="preserve">Сириус</w:t>
      </w:r>
      <w:r>
        <w:rPr>
          <w:sz w:val="28"/>
          <w:szCs w:val="28"/>
        </w:rPr>
        <w:t xml:space="preserve">.О</w:t>
      </w:r>
      <w:r>
        <w:rPr>
          <w:sz w:val="28"/>
          <w:szCs w:val="28"/>
        </w:rPr>
        <w:t xml:space="preserve">нлайн</w:t>
      </w:r>
      <w:r>
        <w:rPr>
          <w:sz w:val="28"/>
          <w:szCs w:val="28"/>
        </w:rPr>
        <w:t xml:space="preserve">» (http://online.sochisirius.ru).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450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Б) на электронную почту Регионального центра «Онфим»: </w:t>
      </w:r>
      <w:r>
        <w:rPr>
          <w:sz w:val="28"/>
          <w:szCs w:val="28"/>
          <w:lang w:val="en-US"/>
        </w:rPr>
        <w:t xml:space="preserve">onfim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gimnazium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Организаторы оставляют за собой право не рассматривать заявки, поданные после установленного срока или не соответствующие требованиям к оформлению.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 (далее – проект или проектная работа) – результат самостоятельной проектной деятельности участника конкурса, направленный на решение актуальной научно-технологической задачи и изложенны</w:t>
      </w:r>
      <w:r>
        <w:rPr>
          <w:sz w:val="28"/>
          <w:szCs w:val="28"/>
        </w:rPr>
        <w:t xml:space="preserve">й в виде текстового описания и презентации. Проектная деятельность предполагает наличие описанной цели, плана мероприятий по ее достижению, описания необходимых временных, финансовых, инфраструктурных и человеческих ресурсов, а также измеримого результата.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Описательная часть проектной работы должна содержать следующую информацию: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"/>
        </w:numPr>
        <w:contextualSpacing/>
        <w:ind w:left="284"/>
        <w:jc w:val="both"/>
        <w:spacing w:line="360" w:lineRule="auto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" w:name="_xmcaw4xuavxs"/>
      <w:r/>
      <w:bookmarkEnd w:id="1"/>
      <w:r>
        <w:rPr>
          <w:sz w:val="28"/>
          <w:szCs w:val="28"/>
        </w:rPr>
        <w:t xml:space="preserve">научная, исследовательская, практическая проблема, которую решает проект;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"/>
        </w:numPr>
        <w:contextualSpacing/>
        <w:ind w:left="284"/>
        <w:jc w:val="both"/>
        <w:spacing w:line="360" w:lineRule="auto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" w:name="_2fn3iotder3e"/>
      <w:r/>
      <w:bookmarkEnd w:id="2"/>
      <w:r>
        <w:rPr>
          <w:sz w:val="28"/>
          <w:szCs w:val="28"/>
        </w:rPr>
        <w:t xml:space="preserve">краткий анализ исследований/разработок по теме проекта, обзор существующих решений;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"/>
        </w:numPr>
        <w:contextualSpacing/>
        <w:ind w:left="284"/>
        <w:jc w:val="both"/>
        <w:spacing w:line="360" w:lineRule="auto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" w:name="_w7ska2v6b58n"/>
      <w:r/>
      <w:bookmarkEnd w:id="3"/>
      <w:r>
        <w:rPr>
          <w:sz w:val="28"/>
          <w:szCs w:val="28"/>
        </w:rPr>
        <w:t xml:space="preserve">описание использованных технологий, методов и оборудования, использованных в проекте;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"/>
        </w:numPr>
        <w:contextualSpacing/>
        <w:ind w:left="284"/>
        <w:jc w:val="both"/>
        <w:spacing w:line="360" w:lineRule="auto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" w:name="_j97uo2e7crdd"/>
      <w:r/>
      <w:bookmarkEnd w:id="4"/>
      <w:r>
        <w:rPr>
          <w:sz w:val="28"/>
          <w:szCs w:val="28"/>
        </w:rPr>
        <w:t xml:space="preserve">описание основных результатов проекта (что удалось достичь, решена ли научная, исследовательская или практическая проблема, личный вклад участника);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"/>
        </w:numPr>
        <w:contextualSpacing/>
        <w:ind w:left="284"/>
        <w:jc w:val="both"/>
        <w:spacing w:line="360" w:lineRule="auto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5" w:name="_o0gsz4fegags"/>
      <w:r/>
      <w:bookmarkEnd w:id="5"/>
      <w:r>
        <w:rPr>
          <w:sz w:val="28"/>
          <w:szCs w:val="28"/>
        </w:rPr>
        <w:t xml:space="preserve">выводы, основанные на полученных результатах;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6"/>
        </w:numPr>
        <w:contextualSpacing/>
        <w:ind w:left="284"/>
        <w:jc w:val="both"/>
        <w:spacing w:line="360" w:lineRule="auto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6" w:name="_51bmrwp2fc4i"/>
      <w:r/>
      <w:bookmarkEnd w:id="6"/>
      <w:r>
        <w:rPr>
          <w:sz w:val="28"/>
          <w:szCs w:val="28"/>
        </w:rPr>
        <w:t xml:space="preserve">указаны </w:t>
      </w:r>
      <w:r>
        <w:rPr>
          <w:sz w:val="28"/>
          <w:szCs w:val="28"/>
        </w:rPr>
        <w:t xml:space="preserve">выгодополучатели</w:t>
      </w:r>
      <w:r>
        <w:rPr>
          <w:sz w:val="28"/>
          <w:szCs w:val="28"/>
        </w:rPr>
        <w:t xml:space="preserve"> результатов проекта, а также перспективы использования результатов.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shd w:val="clear" w:color="auto" w:fill="ffffff"/>
        <w:rPr>
          <w:sz w:val="28"/>
          <w:szCs w:val="28"/>
        </w:rPr>
      </w:pPr>
      <w:r/>
      <w:bookmarkStart w:id="7" w:name="_nm6tzcpbeu2x"/>
      <w:r/>
      <w:bookmarkEnd w:id="7"/>
      <w:r>
        <w:rPr>
          <w:sz w:val="28"/>
          <w:szCs w:val="28"/>
        </w:rPr>
        <w:t xml:space="preserve">Название проекта должно соответствовать полученным результатам.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Участник конкурса может подать заявку на участие только в одном направлении конкурса.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Участниками конкурса могут быть </w:t>
      </w:r>
      <w:r>
        <w:rPr>
          <w:sz w:val="28"/>
          <w:szCs w:val="28"/>
        </w:rPr>
        <w:t xml:space="preserve">обучающиеся</w:t>
      </w:r>
      <w:r>
        <w:rPr>
          <w:sz w:val="28"/>
          <w:szCs w:val="28"/>
        </w:rPr>
        <w:t xml:space="preserve">, разработавшие проект индивидуально.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В случае работы над прое</w:t>
      </w:r>
      <w:r>
        <w:rPr>
          <w:sz w:val="28"/>
          <w:szCs w:val="28"/>
        </w:rPr>
        <w:t xml:space="preserve">ктной задачей нескольких участников, каждый подает заявку индивидуально. Проекты должны носить разные названия, иметь разные цели и задачи, представлять и учитывать индивидуальный вклад участников. Проекты могут иметь указание на взаимосвязь друг с другом.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Один участник может представлять только один проект.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Индивидуальные результаты участников конкурса с указанием сведений об уч</w:t>
      </w:r>
      <w:r>
        <w:rPr>
          <w:sz w:val="28"/>
          <w:szCs w:val="28"/>
        </w:rPr>
        <w:t xml:space="preserve">астниках (номер заявки, фамилия, инициалы, класс/курс, количество баллов) (далее – сведения об участниках) по каждому направлению конкурса заносятся в рейтинговую таблицу результатов участников соответствующего этапа Регионального конкурса, представляющую </w:t>
      </w:r>
      <w:r>
        <w:rPr>
          <w:sz w:val="28"/>
          <w:szCs w:val="28"/>
        </w:rPr>
        <w:t xml:space="preserve">собой ранжированный список участников, расположенных по мере убывания набранных ими баллов (далее – рейтинг). В случае командного проекта результат для каждого участника Регионального конкурса считается отдельно, учитывая его индивидуальный вклад в проект.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Проектные работы участников на всех этапах Конкурса «Большие вызовы» проверяются по единым критериям, приведенным в Приложении №3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Направление проектной работы участника Конкурса «Большие вызовы» может быть изменено в соответствии с её содержанием по решению экспертной комиссии соответствующего этапа Конкурса «Большие вызовы».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Родитель (законный представитель) участника, заяви</w:t>
      </w:r>
      <w:r>
        <w:rPr>
          <w:sz w:val="28"/>
          <w:szCs w:val="28"/>
        </w:rPr>
        <w:t xml:space="preserve">вшего о своём участии в конкурсе, при регистрации на любой этап конкурса, подтверждает ознакомление с настоящим Положением (Приложение №4) и предоставляет организатору этапа конкурса согласие (Приложение №5) на обработку персональных данных с использование</w:t>
      </w:r>
      <w:r>
        <w:rPr>
          <w:sz w:val="28"/>
          <w:szCs w:val="28"/>
        </w:rPr>
        <w:t xml:space="preserve">м средств автоматизации или без использования таковых,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</w:t>
      </w:r>
      <w:r>
        <w:rPr>
          <w:sz w:val="28"/>
          <w:szCs w:val="28"/>
        </w:rPr>
        <w:t xml:space="preserve">, удаление, уничтожение и публикацию персональных данных своего несовершеннолетнего ребёнка, а также загруженных им файлов, в том числе в информационно-телекоммуникационной сети Интернет (далее – сеть «Интернет»).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Проектные работы должны быть разработаны участниками не позднее прошлого учебного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Не принимаются проектные работы: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6"/>
        </w:numPr>
        <w:contextualSpacing/>
        <w:ind w:left="0" w:firstLine="360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относящиеся не к научно-технологическим проектам, а социальной, культурной, </w:t>
      </w:r>
      <w:r>
        <w:rPr>
          <w:sz w:val="28"/>
          <w:szCs w:val="28"/>
        </w:rPr>
        <w:t xml:space="preserve">околопрофессиональной</w:t>
      </w:r>
      <w:r>
        <w:rPr>
          <w:sz w:val="28"/>
          <w:szCs w:val="28"/>
        </w:rPr>
        <w:t xml:space="preserve"> («</w:t>
      </w:r>
      <w:r>
        <w:rPr>
          <w:sz w:val="28"/>
          <w:szCs w:val="28"/>
        </w:rPr>
        <w:t xml:space="preserve">soft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skills</w:t>
      </w:r>
      <w:r>
        <w:rPr>
          <w:sz w:val="28"/>
          <w:szCs w:val="28"/>
        </w:rPr>
        <w:t xml:space="preserve">») направленности;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6"/>
        </w:numPr>
        <w:contextualSpacing/>
        <w:ind w:left="0" w:firstLine="284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не имеющие личного исследовательского вклада или индивидуальной разработки самим участником;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6"/>
        </w:numPr>
        <w:contextualSpacing/>
        <w:ind w:left="0" w:firstLine="284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представленные в рамках конкурса в прошлые учебные годы без существенных изменений (модификаций) 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6"/>
        </w:numPr>
        <w:contextualSpacing/>
        <w:ind w:left="0" w:firstLine="360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соответствующие</w:t>
      </w:r>
      <w:r>
        <w:rPr>
          <w:sz w:val="28"/>
          <w:szCs w:val="28"/>
        </w:rPr>
        <w:t xml:space="preserve"> требованиям, предъявляемым к оформлению и подаче заявок и проектов;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6"/>
        </w:numPr>
        <w:contextualSpacing/>
        <w:ind w:hanging="153"/>
        <w:jc w:val="both"/>
        <w:spacing w:line="360" w:lineRule="auto"/>
        <w:shd w:val="clear" w:color="auto" w:fill="ffffff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разработанные</w:t>
      </w:r>
      <w:r>
        <w:rPr>
          <w:sz w:val="28"/>
          <w:szCs w:val="28"/>
        </w:rPr>
        <w:t xml:space="preserve"> не участвующими в конкурсе лицами.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Участвовать в финальном этапе Регионального конкурса могут участники отборочного этапа текущего учебного года, набравшие необходимое для участия в финальном этапе Регионального конкурса количество баллов, установленное организатором Регионального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финальном этапе Регионального конкурса принимают участие конкурсанты с индивидуальными заявками в соответствии с направлениями, определенными организатором Регионального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Очная защита проектных работ на финальном этапе Р</w:t>
      </w:r>
      <w:r>
        <w:rPr>
          <w:sz w:val="28"/>
          <w:szCs w:val="28"/>
        </w:rPr>
        <w:t xml:space="preserve">егионального конкурса проводится в формате публичного мероприятия, открытого для представителей организаторов конкурса и других регионов. Организатор финального этапа также обеспечивает видеозапись очных презентаций и формат дистанционного подключения для </w:t>
      </w:r>
      <w:r>
        <w:rPr>
          <w:sz w:val="28"/>
          <w:szCs w:val="28"/>
        </w:rPr>
        <w:t xml:space="preserve">онлайн-трансляции</w:t>
      </w:r>
      <w:r>
        <w:rPr>
          <w:sz w:val="28"/>
          <w:szCs w:val="28"/>
        </w:rPr>
        <w:t xml:space="preserve"> финального этапа регионального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Участник конкурса предоставляет организатору Регионального конкурса право использования проектной работы с указанием сведений автора - участника конкурса путем: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7"/>
        </w:numPr>
        <w:contextualSpacing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воспроизведения в любой форме, без ограничения количества экземпляров;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7"/>
        </w:numPr>
        <w:contextualSpacing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распространения на официальном сайте конкурса и в других источниках сети «Интернет»;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7"/>
        </w:numPr>
        <w:contextualSpacing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доведение до всеобщего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7"/>
        </w:numPr>
        <w:contextualSpacing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включения в составные и иные произведения.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25"/>
        </w:numPr>
        <w:contextualSpacing/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Участнику необходимо самостоятельно отслеживать актуальную информацию о конкурсе на официальном сайте конкурса и в личном кабинете системы «</w:t>
      </w:r>
      <w:r>
        <w:rPr>
          <w:sz w:val="28"/>
          <w:szCs w:val="28"/>
        </w:rPr>
        <w:t xml:space="preserve">Сириус</w:t>
      </w:r>
      <w:r>
        <w:rPr>
          <w:sz w:val="28"/>
          <w:szCs w:val="28"/>
        </w:rPr>
        <w:t xml:space="preserve">.О</w:t>
      </w:r>
      <w:r>
        <w:rPr>
          <w:sz w:val="28"/>
          <w:szCs w:val="28"/>
        </w:rPr>
        <w:t xml:space="preserve">нлайн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center"/>
        <w:spacing w:line="360" w:lineRule="auto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023"/>
        <w:numPr>
          <w:ilvl w:val="0"/>
          <w:numId w:val="25"/>
        </w:numPr>
        <w:ind w:left="0" w:firstLine="567"/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участия в Дистанционном треке (конкурсе) Всероссийского конкурса научно-технологических проектов «Большие вызовы»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Обучающиеся образовательных организаций Новгородской области,</w:t>
      </w:r>
      <w:r>
        <w:rPr>
          <w:bCs/>
          <w:sz w:val="28"/>
          <w:szCs w:val="28"/>
        </w:rPr>
        <w:t xml:space="preserve"> указанные в п. 2.7, </w:t>
      </w:r>
      <w:r>
        <w:rPr>
          <w:sz w:val="28"/>
          <w:szCs w:val="28"/>
        </w:rPr>
        <w:t xml:space="preserve">могут принять участие в Дистанционном треке (конкурсе) Всероссийского конкурса научно-технологических проектов «Большие вызовы» только по тем направлениям, которые не представлены в Региональном конкурсе.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Участники Регионального конкурса не могут принимать участия в Дистанционном треке (конкурсе) Всероссийского конкурса научно-технологических проектов «Большие вызовы» (далее – Дистанционный конкурс).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Дистанционный конкурс осуществляется с 20 ноября по 15 февраля текущего учебного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Порядок участия в Дистанционном конкурсе совпадает с порядком участия в Региональном конкурсе и описан в п.4 настоящего Положения.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Дистанционный конкурс проводится Фондом «Талант и успех» в заочной форме.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Экспертиза заявок осуществляется до 28 марта текущего учебного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экспертизы работ участников до 1 апреля текущего учебного года формируется ранжированный список участников дистанционного конкурса по каждому направлению, определяется список победителей дистанционного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center"/>
        <w:spacing w:line="360" w:lineRule="auto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23"/>
        <w:numPr>
          <w:ilvl w:val="0"/>
          <w:numId w:val="25"/>
        </w:numPr>
        <w:ind w:left="0" w:firstLine="567"/>
        <w:jc w:val="center"/>
        <w:spacing w:line="360" w:lineRule="auto"/>
        <w:shd w:val="clear" w:color="auto" w:fill="ffffff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проведения заключительного этапа Всероссийского конкурса научно-технологических проектов «Большие вызовы»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Заключительный этап конк</w:t>
      </w:r>
      <w:r>
        <w:rPr>
          <w:sz w:val="28"/>
          <w:szCs w:val="28"/>
        </w:rPr>
        <w:t xml:space="preserve">урса проводится Фондом «Талант и успех» по завершению региональных и дистанционного конкурсов в период с 10 апреля по 15 мая текущего учебного года и состоит из 2 туров: выполнения задания от экспертных комиссий направления и индивидуального собеседования.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данном этапе участвуют </w:t>
      </w:r>
      <w:r>
        <w:rPr>
          <w:sz w:val="28"/>
          <w:szCs w:val="28"/>
        </w:rPr>
        <w:t xml:space="preserve">обучающиеся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7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призёры региональных конкурсов, проводимых в субъектах РФ в текущем учебном году;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7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победители дистанционного конкурса текущего учебного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Участники заключительного этапа конкурса в срок с 5 по 10 апреля текущего учебного года загружают на </w:t>
      </w:r>
      <w:r>
        <w:rPr>
          <w:sz w:val="28"/>
          <w:szCs w:val="28"/>
        </w:rPr>
        <w:t xml:space="preserve">онлайн-платформу</w:t>
      </w:r>
      <w:r>
        <w:rPr>
          <w:sz w:val="28"/>
          <w:szCs w:val="28"/>
        </w:rPr>
        <w:t xml:space="preserve"> свои итоговые проектные работы, которые будут оцениваться на заключительном этапе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Первый тур заключительного этапа проходит в формате выполнения заданий, сформированных экспертными комиссиями по каждому направлению конкурса.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 итогам результатов первого тура, а также предварительной оценки проектных работ участников, формируется список участников второго тура заключительного этапа в рамках квоты по каждому направлению, определенной оргкомитетом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Второй тур заключительного этапа проходит в формате индивидуального очного собеседования участника и членов экспертных комиссий заключительного этапа конкурса.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 итогам двух туров формируется ранжированный список участников конкурса по каждому направлению, определяется список победителей и призеров заключительного этапа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заключительного этапа признаются победителями и призерами Всероссийского конкурса научно-технологических проектов «Большие вызовы» в текущем учебном году.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1"/>
          <w:numId w:val="25"/>
        </w:numPr>
        <w:ind w:left="0"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Регламент проведения зак</w:t>
      </w:r>
      <w:r>
        <w:rPr>
          <w:sz w:val="28"/>
          <w:szCs w:val="28"/>
        </w:rPr>
        <w:t xml:space="preserve">лючительного этапа конкурса, включающий формат проведения каждого из туров, порядок участия и сроки проведения каждого из туров, систему оценивания работ участников, будет опубликован на официальном сайте конкурса в срок до 1 апреля текущего учебного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ind w:left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</w:t>
      </w:r>
      <w:r>
        <w:rPr>
          <w:b/>
          <w:bCs/>
          <w:sz w:val="28"/>
          <w:szCs w:val="28"/>
        </w:rPr>
        <w:tab/>
        <w:t xml:space="preserve">Заключительные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5.1. Методичес</w:t>
      </w:r>
      <w:r>
        <w:rPr>
          <w:sz w:val="28"/>
          <w:szCs w:val="28"/>
        </w:rPr>
        <w:t xml:space="preserve">кое обеспечение всех этапов конкурса «Большие вызовы», а также научно-методическое и финансовое обеспечение проведения дистанционного и заключительного этапов конкурса «Большие вызовы» осуществляются за счет средств Образовательного Фонда «Талант и успех».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right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t xml:space="preserve">Приложение № 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тематических направлений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line="360" w:lineRule="auto"/>
        <w:shd w:val="clear" w:color="auto" w:fill="ffffff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 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Агропромышленные и биотехнологии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Беспилотный транспорт и </w:t>
      </w:r>
      <w:r>
        <w:rPr>
          <w:sz w:val="28"/>
          <w:szCs w:val="28"/>
        </w:rPr>
        <w:t xml:space="preserve">логистические</w:t>
      </w:r>
      <w:r>
        <w:rPr>
          <w:sz w:val="28"/>
          <w:szCs w:val="28"/>
        </w:rPr>
        <w:t xml:space="preserve"> системы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Большие данные, искусственный интеллект, финансовые технологии и машинное обучение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Генетика и биомедицина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Когнитивные исследования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Космические технологии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Нанотехнологии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Новые материалы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Передовые производственные технологии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Природоподобные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нейротехнологии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Современная энергетика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Умный город и безопасность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numPr>
          <w:ilvl w:val="0"/>
          <w:numId w:val="17"/>
        </w:numPr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 Экология и изучение изменений климата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right"/>
        <w:spacing w:line="360" w:lineRule="auto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Приложение 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640"/>
        <w:jc w:val="both"/>
        <w:spacing w:before="240" w:after="24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before="240" w:after="240" w:line="360" w:lineRule="auto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оформлению работы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1080" w:hanging="360"/>
        <w:jc w:val="both"/>
        <w:spacing w:before="240" w:after="240" w:line="360" w:lineRule="auto"/>
        <w:shd w:val="clear" w:color="auto" w:fill="ffffff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Требования к оформлению текстовой части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1000"/>
        <w:jc w:val="both"/>
        <w:spacing w:before="240" w:after="24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●    </w:t>
      </w:r>
      <w:r>
        <w:rPr>
          <w:sz w:val="28"/>
          <w:szCs w:val="28"/>
        </w:rPr>
        <w:tab/>
        <w:t xml:space="preserve">Объем текста – не более 20 000 знаков без пробелов, титульной страницы, глоссария, списка литературы и приложений.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00"/>
        <w:jc w:val="both"/>
        <w:spacing w:before="240" w:after="24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●   </w:t>
      </w:r>
      <w:r>
        <w:rPr>
          <w:sz w:val="28"/>
          <w:szCs w:val="28"/>
        </w:rPr>
        <w:tab/>
        <w:t xml:space="preserve">Формат *.</w:t>
      </w:r>
      <w:r>
        <w:rPr>
          <w:sz w:val="28"/>
          <w:szCs w:val="28"/>
        </w:rPr>
        <w:t xml:space="preserve">pdf</w:t>
      </w:r>
      <w:r>
        <w:rPr>
          <w:sz w:val="28"/>
          <w:szCs w:val="28"/>
        </w:rPr>
        <w:t xml:space="preserve">, размер шрифта – 12 </w:t>
      </w:r>
      <w:r>
        <w:rPr>
          <w:sz w:val="28"/>
          <w:szCs w:val="28"/>
        </w:rPr>
        <w:t xml:space="preserve">pt</w:t>
      </w:r>
      <w:r>
        <w:rPr>
          <w:sz w:val="28"/>
          <w:szCs w:val="28"/>
        </w:rPr>
        <w:t xml:space="preserve">, межстрочный интервал – 1.5, объем файла не более 7 Мб. Обязательна нумерация страниц.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60"/>
        <w:jc w:val="both"/>
        <w:spacing w:before="240" w:after="24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тексте могут содержаться </w:t>
      </w:r>
      <w:r>
        <w:rPr>
          <w:sz w:val="28"/>
          <w:szCs w:val="28"/>
          <w:u w:val="single"/>
        </w:rPr>
        <w:t xml:space="preserve">рабочие гиперссылки</w:t>
      </w:r>
      <w:r>
        <w:rPr>
          <w:sz w:val="28"/>
          <w:szCs w:val="28"/>
        </w:rPr>
        <w:t xml:space="preserve"> на видео, файлы моделей, схем, чертежей, программные коды проекта или исследования. Остальные графические элементы работы (рисунки, диаграммы, схемы) должны быть помещены внутри текста.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240" w:after="240" w:line="360" w:lineRule="auto"/>
        <w:shd w:val="clear" w:color="auto" w:fill="ffffff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2.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Требования к оформлению презентации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1000"/>
        <w:jc w:val="both"/>
        <w:spacing w:before="240" w:after="24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●    </w:t>
      </w:r>
      <w:r>
        <w:rPr>
          <w:sz w:val="28"/>
          <w:szCs w:val="28"/>
        </w:rPr>
        <w:tab/>
        <w:t xml:space="preserve">Формат *.</w:t>
      </w:r>
      <w:r>
        <w:rPr>
          <w:sz w:val="28"/>
          <w:szCs w:val="28"/>
        </w:rPr>
        <w:t xml:space="preserve">pdf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00"/>
        <w:jc w:val="both"/>
        <w:spacing w:before="240" w:after="24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●</w:t>
      </w:r>
      <w:r>
        <w:rPr>
          <w:sz w:val="28"/>
          <w:szCs w:val="28"/>
        </w:rPr>
        <w:tab/>
        <w:t xml:space="preserve">Основное содержание презентации соответствует тексту работы. Объем презентации - не более 15 слайдов.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00"/>
        <w:jc w:val="both"/>
        <w:spacing w:before="240" w:after="24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●    </w:t>
      </w:r>
      <w:r>
        <w:rPr>
          <w:sz w:val="28"/>
          <w:szCs w:val="28"/>
        </w:rPr>
        <w:tab/>
        <w:t xml:space="preserve">Размер файла не превышает 7 Мб.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240" w:after="24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240" w:after="24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color w:val="383838"/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color w:val="383838"/>
          <w:sz w:val="28"/>
          <w:szCs w:val="28"/>
        </w:rPr>
        <w:t xml:space="preserve">Приложение 3</w:t>
      </w:r>
      <w:r>
        <w:rPr>
          <w:color w:val="383838"/>
          <w:sz w:val="28"/>
          <w:szCs w:val="28"/>
        </w:rPr>
      </w:r>
      <w:r>
        <w:rPr>
          <w:color w:val="383838"/>
          <w:sz w:val="28"/>
          <w:szCs w:val="28"/>
        </w:rPr>
      </w:r>
    </w:p>
    <w:p>
      <w:pPr>
        <w:jc w:val="right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</w:r>
      <w:r>
        <w:rPr>
          <w:color w:val="383838"/>
          <w:sz w:val="28"/>
          <w:szCs w:val="28"/>
        </w:rPr>
      </w:r>
      <w:r>
        <w:rPr>
          <w:color w:val="383838"/>
          <w:sz w:val="28"/>
          <w:szCs w:val="28"/>
        </w:rPr>
      </w:r>
    </w:p>
    <w:p>
      <w:pPr>
        <w:pStyle w:val="1010"/>
        <w:numPr>
          <w:ilvl w:val="0"/>
          <w:numId w:val="0"/>
        </w:numPr>
        <w:ind w:left="432" w:hanging="432"/>
        <w:jc w:val="left"/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ind w:left="432"/>
        <w:keepNext w:val="0"/>
        <w:spacing w:after="0"/>
        <w:rPr>
          <w:b w:val="0"/>
          <w:sz w:val="28"/>
          <w:szCs w:val="28"/>
        </w:rPr>
      </w:pPr>
      <w:r>
        <w:rPr>
          <w:sz w:val="28"/>
          <w:szCs w:val="28"/>
        </w:rPr>
        <w:t xml:space="preserve">Критерии оценки работ участников Всероссийского научно-технологического конкурса проектов «Большие вызовы»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010"/>
        <w:numPr>
          <w:ilvl w:val="0"/>
          <w:numId w:val="0"/>
        </w:numPr>
        <w:ind w:left="432"/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2023-2024 учебном году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rPr>
          <w:sz w:val="28"/>
          <w:szCs w:val="28"/>
        </w:rPr>
      </w:pPr>
      <w:r/>
      <w:bookmarkStart w:id="8" w:name="_1fob9te"/>
      <w:r/>
      <w:bookmarkStart w:id="9" w:name="_GoBack"/>
      <w:r/>
      <w:bookmarkEnd w:id="8"/>
      <w:r/>
      <w:bookmarkEnd w:id="9"/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ind w:left="432"/>
        <w:jc w:val="left"/>
        <w:rPr>
          <w:b w:val="0"/>
          <w:sz w:val="28"/>
          <w:szCs w:val="28"/>
        </w:rPr>
      </w:pPr>
      <w:r/>
      <w:bookmarkStart w:id="10" w:name="_wdr3r5bkoq41"/>
      <w:r/>
      <w:bookmarkEnd w:id="10"/>
      <w:r>
        <w:rPr>
          <w:sz w:val="28"/>
          <w:szCs w:val="28"/>
        </w:rPr>
        <w:t xml:space="preserve">Обязательные требования к содержанию работы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012"/>
        <w:keepLines w:val="0"/>
        <w:keepNext w:val="0"/>
        <w:spacing w:before="48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/>
      <w:bookmarkStart w:id="11" w:name="_3znysh7"/>
      <w:r/>
      <w:bookmarkEnd w:id="11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несоответствии любому из описанных в данном разделе критериев, работа считается отклоненной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1047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7470"/>
      </w:tblGrid>
      <w:tr>
        <w:tblPrEx/>
        <w:trPr>
          <w:trHeight w:val="64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000" w:type="dxa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Оригинальность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47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В работе не должно содержаться значительных заимствований</w:t>
            </w:r>
            <w:r>
              <w:rPr>
                <w:sz w:val="28"/>
                <w:szCs w:val="28"/>
              </w:rPr>
              <w:t xml:space="preserve">. Оригинальность текста должна составлять более 70%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70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000" w:type="dxa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Этичность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47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Работа не должна нарушать морально-этические нормы или носить провокационный характер.</w:t>
            </w:r>
            <w:r>
              <w:rPr>
                <w:color w:val="000000"/>
                <w:sz w:val="28"/>
                <w:szCs w:val="28"/>
                <w:vertAlign w:val="superscript"/>
              </w:rPr>
              <w:footnoteReference w:id="2"/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94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000" w:type="dxa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Здравый смысл/научность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47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Полученные результаты не должны противоречить основополагающим законам природы (т.н. вечный двигатель), не должна наблюдаться очевидная </w:t>
            </w:r>
            <w:r>
              <w:rPr>
                <w:color w:val="000000"/>
                <w:sz w:val="28"/>
                <w:szCs w:val="28"/>
              </w:rPr>
              <w:t xml:space="preserve">лженаучность</w:t>
            </w:r>
            <w:r>
              <w:rPr>
                <w:color w:val="000000"/>
                <w:sz w:val="28"/>
                <w:szCs w:val="28"/>
              </w:rPr>
              <w:t xml:space="preserve"> используемого подхода.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94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000" w:type="dxa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8"/>
                <w:szCs w:val="28"/>
              </w:rPr>
              <w:t xml:space="preserve">Соответствие требованиям Положения о Конкурсе и оформлению работ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47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8"/>
                <w:szCs w:val="28"/>
              </w:rPr>
              <w:t xml:space="preserve">Работа не соответствует ни одному из направлений конкурса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8"/>
                <w:szCs w:val="28"/>
              </w:rPr>
              <w:t xml:space="preserve">Не прикреплен те</w:t>
            </w:r>
            <w:r>
              <w:rPr>
                <w:sz w:val="28"/>
                <w:szCs w:val="28"/>
              </w:rPr>
              <w:t xml:space="preserve">кст пр</w:t>
            </w:r>
            <w:r>
              <w:rPr>
                <w:sz w:val="28"/>
                <w:szCs w:val="28"/>
              </w:rPr>
              <w:t xml:space="preserve">оекта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8"/>
                <w:szCs w:val="28"/>
              </w:rPr>
              <w:t xml:space="preserve">Не прикреплена презентация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8"/>
                <w:szCs w:val="28"/>
              </w:rPr>
              <w:t xml:space="preserve">Содержание презентации не соответствует тексту проекта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8"/>
                <w:szCs w:val="28"/>
              </w:rPr>
              <w:t xml:space="preserve">Текст работы содержит более 20000 символов (не включая пробелы)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8"/>
                <w:szCs w:val="28"/>
              </w:rPr>
              <w:t xml:space="preserve">Представлена групповая работа, вклад заявителя в реализацию которой не определен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1010"/>
        <w:ind w:left="720"/>
        <w:rPr>
          <w:sz w:val="28"/>
          <w:szCs w:val="28"/>
        </w:rPr>
      </w:pPr>
      <w:r/>
      <w:bookmarkStart w:id="12" w:name="_2et92p0"/>
      <w:r/>
      <w:bookmarkEnd w:id="12"/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ind w:left="720"/>
        <w:rPr>
          <w:b w:val="0"/>
          <w:sz w:val="28"/>
          <w:szCs w:val="28"/>
        </w:rPr>
      </w:pPr>
      <w:r/>
      <w:bookmarkStart w:id="13" w:name="_463uoa3kp6h2"/>
      <w:r/>
      <w:bookmarkEnd w:id="13"/>
      <w:r>
        <w:rPr>
          <w:sz w:val="28"/>
          <w:szCs w:val="28"/>
        </w:rPr>
        <w:t xml:space="preserve">Формула расчёта итогового балла: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jc w:val="center"/>
        <w:rPr>
          <w:rFonts w:eastAsia="Cambria Math"/>
          <w:sz w:val="28"/>
          <w:szCs w:val="28"/>
          <w:vertAlign w:val="superscript"/>
        </w:rPr>
      </w:pPr>
      <w:r/>
      <m:oMath>
        <m:r>
          <w:rPr>
            <w:rFonts w:ascii="Cambria Math" w:hAnsi="Cambria Math"/>
            <w:sz w:val="28"/>
            <w:szCs w:val="28"/>
          </w:rPr>
          <m:rPr/>
          <m:t>Σ</m:t>
        </m:r>
        <m:r>
          <w:rPr>
            <w:rFonts w:ascii="Cambria Math" w:hAnsi="Cambria Math" w:eastAsia="Cambria Math"/>
            <w:sz w:val="28"/>
            <w:szCs w:val="28"/>
          </w:rPr>
          <m:rPr/>
          <m:t>=(кр1 + кр2 + кр3 + 5× кр4) ×кр5</m:t>
        </m:r>
      </m:oMath>
      <w:r/>
      <w:bookmarkStart w:id="14" w:name="_tyjcwt"/>
      <w:r/>
      <w:bookmarkEnd w:id="14"/>
      <w:r>
        <w:rPr>
          <w:sz w:val="28"/>
          <w:szCs w:val="28"/>
          <w:vertAlign w:val="superscript"/>
        </w:rPr>
        <w:footnoteReference w:id="3"/>
      </w:r>
      <w:r>
        <w:rPr>
          <w:rFonts w:eastAsia="Cambria Math"/>
          <w:sz w:val="28"/>
          <w:szCs w:val="28"/>
          <w:vertAlign w:val="superscript"/>
        </w:rPr>
      </w:r>
      <w:r>
        <w:rPr>
          <w:rFonts w:eastAsia="Cambria Math"/>
          <w:sz w:val="28"/>
          <w:szCs w:val="28"/>
          <w:vertAlign w:val="superscript"/>
        </w:rPr>
      </w:r>
    </w:p>
    <w:p>
      <w:pPr>
        <w:pStyle w:val="1010"/>
        <w:numPr>
          <w:ilvl w:val="0"/>
          <w:numId w:val="0"/>
        </w:numPr>
        <w:ind w:left="432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1.  Критерии для оценки исследовательских работ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spacing w:before="240" w:after="240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Исследовательский (научно-исследовательский)</w:t>
      </w:r>
      <w:r>
        <w:rPr>
          <w:color w:val="000000"/>
          <w:sz w:val="28"/>
          <w:szCs w:val="28"/>
        </w:rPr>
        <w:t xml:space="preserve"> – проект, основной </w:t>
      </w:r>
      <w:r>
        <w:rPr>
          <w:color w:val="000000"/>
          <w:sz w:val="28"/>
          <w:szCs w:val="28"/>
        </w:rPr>
        <w:t xml:space="preserve">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1044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9090"/>
        <w:gridCol w:w="1350"/>
      </w:tblGrid>
      <w:tr>
        <w:tblPrEx/>
        <w:trPr>
          <w:trHeight w:val="24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Критерий 1 </w:t>
            </w:r>
            <w:r>
              <w:rPr>
                <w:b/>
                <w:sz w:val="28"/>
                <w:szCs w:val="28"/>
              </w:rPr>
              <w:t xml:space="preserve">Формулирование цели и задач 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Балл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Цель работы не поставлена, задачи не сформулированы, проблема не обозначена.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39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Цель обозначена в общих чертах, задачи сформулированы не конкретно, проблема не обозначена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Цель однозначна, задачи сформулированы не конкретно, актуальность проблемы не аргументирована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46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Цель однозначна, задачи сформулированы конкретно, проблема обозначена, актуальна; актуальность проблемы аргументирована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9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044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Критерий 2 Анализ области исследования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Нет обзора литературы изучаемой области/ область исследования не представлена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Нет списка используемой литературы.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Приведено описание области исследования</w:t>
            </w:r>
            <w:r>
              <w:rPr>
                <w:sz w:val="28"/>
                <w:szCs w:val="28"/>
              </w:rPr>
              <w:t xml:space="preserve">, но нет ссылок на источники.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списка используемой литературы.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Приведен краткий анализ области исследования с указанием на источники, ссылки оформлены в соответствии с требованиями.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8"/>
                <w:szCs w:val="28"/>
              </w:rPr>
              <w:t xml:space="preserve">Приведен список используемой литературы.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Цитируемые источники устарели, не отражают современное представление.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50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Приведен развернутый анализ области исследования с указанием на источники, ссылки оформлены в соответствии с требованиями.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Источники актуальны, отражают современное представление.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9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044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Критерий 3 Метод</w:t>
            </w:r>
            <w:r>
              <w:rPr>
                <w:b/>
                <w:sz w:val="28"/>
                <w:szCs w:val="28"/>
              </w:rPr>
              <w:t xml:space="preserve">ы, использованные в работе 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19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Нет описания методов исследования.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Нет выборки (если требуется).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01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8"/>
                <w:szCs w:val="28"/>
              </w:rPr>
              <w:t xml:space="preserve">Дано перечисление методик без подробного описания, выборка отсутствует (если требуется).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23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8"/>
                <w:szCs w:val="28"/>
              </w:rPr>
              <w:t xml:space="preserve">Методики описаны, но нет обоснования применения именного этого метода, выборка присутствует (если требуется)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644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8"/>
                <w:szCs w:val="28"/>
              </w:rPr>
              <w:t xml:space="preserve">Методики описаны подробно, приведено обоснование применимости метода, указаны ссылки на публикации применения данной методики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Выборка (если требуется) соответствует критерию достаточности.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044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Критерий 4 Качество полученных результат</w:t>
            </w:r>
            <w:r>
              <w:rPr>
                <w:b/>
                <w:sz w:val="28"/>
                <w:szCs w:val="28"/>
              </w:rPr>
              <w:t xml:space="preserve">ов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820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Исследование не проведено,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результаты не получены,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8"/>
                <w:szCs w:val="28"/>
              </w:rPr>
              <w:t xml:space="preserve">не проведено сравнение с данными других исследований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выводы не обоснованы.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6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Исследование проведено,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получены результаты, но они не достоверны.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8"/>
                <w:szCs w:val="28"/>
              </w:rPr>
              <w:t xml:space="preserve">Не проведено сравнение с данными других исследований.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Выводы недостаточно обоснованы.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808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Исследование проведено,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получены достоверные результаты.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Выводы обоснованы.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Не показано значение полученного результата по отношению к результатам предшественников в области.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56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Исследование проведено,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получены результаты, они достоверны.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Выводы обоснованы.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Показано значение полученного результата по отношению к результатам предшественников в области.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9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044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Критерий 5 Самостоятельность, индивидуальный вклад в исследование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Есть понимание сути исследования, личный вклад не конкретен.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Уровень осведомлённости в предметной области исследования не позволяет уверенно обсуждать положение дел по изучаемому вопросу.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0,5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041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Есть понимание сути исследования,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личный вклад и его значение в полученных результатах чётко </w:t>
            </w:r>
            <w:r>
              <w:rPr>
                <w:color w:val="000000"/>
                <w:sz w:val="28"/>
                <w:szCs w:val="28"/>
              </w:rPr>
              <w:t xml:space="preserve">обозначены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Уровень осведомлённости в предметной области исследования достаточен для обсуждения положения дел по изучаемому вопросу.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634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9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Есть понимание сути исследования,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личный вклад и его значение в полученных результатах чётко </w:t>
            </w:r>
            <w:r>
              <w:rPr>
                <w:color w:val="000000"/>
                <w:sz w:val="28"/>
                <w:szCs w:val="28"/>
              </w:rPr>
              <w:t xml:space="preserve">обозначены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Свободно ориентируется в предметной области исследования.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Определено дальнейшее направление развития исследования.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1,5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1010"/>
        <w:numPr>
          <w:ilvl w:val="0"/>
          <w:numId w:val="0"/>
        </w:numPr>
        <w:ind w:left="432"/>
        <w:jc w:val="left"/>
        <w:rPr>
          <w:b w:val="0"/>
          <w:sz w:val="28"/>
          <w:szCs w:val="28"/>
        </w:rPr>
      </w:pPr>
      <w:r/>
      <w:bookmarkStart w:id="15" w:name="_3dy6vkm"/>
      <w:r/>
      <w:bookmarkEnd w:id="15"/>
      <w:r>
        <w:rPr>
          <w:sz w:val="28"/>
          <w:szCs w:val="28"/>
        </w:rPr>
        <w:t xml:space="preserve">2.  Критерии для оценки прикладных проектных работ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Практико-ориентированный (прикладной) </w:t>
      </w:r>
      <w:r>
        <w:rPr>
          <w:color w:val="000000"/>
          <w:sz w:val="28"/>
          <w:szCs w:val="28"/>
        </w:rPr>
        <w:t xml:space="preserve">– проект, основной целью которого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1047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9000"/>
        <w:gridCol w:w="1470"/>
      </w:tblGrid>
      <w:tr>
        <w:tblPrEx/>
        <w:trPr>
          <w:trHeight w:val="24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Критерий 1 Формулирование цели и задач 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Балл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40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Отсутствует описание цели проекта.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Не определён круг потенциальных заказчиков / потребителей / пользователей.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Не определены показатели назначения.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Обозначенная цель проекта не обоснована (не сформулирована проблема, которая решается в проекте) или не является актуальной в современной ситуации.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Круг потенциальных заказчиков / потребителей / пользователей не конкретен.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Заявленные показатели назначения не измеримы, либо отсутствуют.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713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Цель проекта обоснована (сформулирована проблема, которая решается в проекте) и является актуальной в современной ситуации.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Представлено только одно из следующего: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1)  </w:t>
            </w:r>
            <w:r>
              <w:rPr>
                <w:color w:val="000000"/>
                <w:sz w:val="28"/>
                <w:szCs w:val="28"/>
              </w:rPr>
              <w:tab/>
              <w:t xml:space="preserve">Чётко обозначен круг потенциальных заказчиков / потребителей / пользователей.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2)  </w:t>
            </w:r>
            <w:r>
              <w:rPr>
                <w:color w:val="000000"/>
                <w:sz w:val="28"/>
                <w:szCs w:val="28"/>
              </w:rPr>
              <w:tab/>
              <w:t xml:space="preserve">Заявленные показатели назначения измеримы.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88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Есть: конкретная формулировка цели проекта и проблемы, которую проект решает; актуальность проекта обоснована;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Чётко обозначен круг потенциальных заказчиков / потребителей / пользователей.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Заявленные показатели назначения измеримы.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9"/>
        </w:trPr>
        <w:tc>
          <w:tcPr>
            <w:gridSpan w:val="2"/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047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Критерий 2 Анализ существующих решений и методов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Нет анализа существующих решений, нет списка используемой литературы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40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Есть неполный анализ существующих решений проблемы и их сравнение, есть список используемой литературы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80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Дана сравнительная таблица аналогов с указанием показателей назначения. Выявленные в результате сравнительного анализа преимущества предлагаемого решения не обоснованы, либо отсутствуют. Есть список используемой литературы.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40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Есть: актуальный список литературы, подробный анализ существующих в практике решений, сравнительная таблица аналогов с указанием преимуще</w:t>
            </w:r>
            <w:r>
              <w:rPr>
                <w:color w:val="000000"/>
                <w:sz w:val="28"/>
                <w:szCs w:val="28"/>
              </w:rPr>
              <w:t xml:space="preserve">ств пр</w:t>
            </w:r>
            <w:r>
              <w:rPr>
                <w:color w:val="000000"/>
                <w:sz w:val="28"/>
                <w:szCs w:val="28"/>
              </w:rPr>
              <w:t xml:space="preserve">едлагаемого решения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9"/>
        </w:trPr>
        <w:tc>
          <w:tcPr>
            <w:gridSpan w:val="2"/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047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Критерий 3 Планирование работ, ресурсное обеспечение проекта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80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Отсутствует план работы. Ресурсное обеспечение проекта не определено. Способы привлечения ресурсов в проект не проработаны.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Есть только одно из следующего: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1)  </w:t>
            </w:r>
            <w:r>
              <w:rPr>
                <w:color w:val="000000"/>
                <w:sz w:val="28"/>
                <w:szCs w:val="28"/>
              </w:rPr>
              <w:tab/>
              <w:t xml:space="preserve">План работы, с описанием ключевых этапов и промежуточных результатов, отражающий реальный ход работ;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2)  </w:t>
            </w:r>
            <w:r>
              <w:rPr>
                <w:color w:val="000000"/>
                <w:sz w:val="28"/>
                <w:szCs w:val="28"/>
              </w:rPr>
              <w:tab/>
              <w:t xml:space="preserve">Описание использованных ресурсов;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3)  </w:t>
            </w:r>
            <w:r>
              <w:rPr>
                <w:color w:val="000000"/>
                <w:sz w:val="28"/>
                <w:szCs w:val="28"/>
              </w:rPr>
              <w:tab/>
              <w:t xml:space="preserve">Способы привлечения ресурсов в проект.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200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Есть только два из следующего: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1)  </w:t>
            </w:r>
            <w:r>
              <w:rPr>
                <w:color w:val="000000"/>
                <w:sz w:val="28"/>
                <w:szCs w:val="28"/>
              </w:rPr>
              <w:tab/>
              <w:t xml:space="preserve">План работы, с описанием ключевых этапов и промежуточных результатов, отражающий реальный ход работ;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2)  </w:t>
            </w:r>
            <w:r>
              <w:rPr>
                <w:color w:val="000000"/>
                <w:sz w:val="28"/>
                <w:szCs w:val="28"/>
              </w:rPr>
              <w:tab/>
              <w:t xml:space="preserve">Описание использованных ресурсов;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3)  </w:t>
            </w:r>
            <w:r>
              <w:rPr>
                <w:color w:val="000000"/>
                <w:sz w:val="28"/>
                <w:szCs w:val="28"/>
              </w:rPr>
              <w:tab/>
              <w:t xml:space="preserve">Способы привлечения ресурсов в проект.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95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Есть: подробный план, описание использованных ресурсов и способов их привлечения для реализации проекта.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9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047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Критерий 4 Качество полученных результатов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351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Нет подробного описания достигнутого результата. Нет подтверждений (фото, видео) полученного результата. Отсутствует программа и методика испытаний. Не приведены полученные в ходе испытаний показатели назначения.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Дано подробное описание достигнутого результата. Есть видео и/или фото-подтверждения работающего образца/макета/модели. Отсутствует программа и методика испытаний. Испытания не проводились.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690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Дано подробное описание достигнутого результата. Есть видео и фото-подтверждения работающего образца/макета/модели. </w:t>
            </w:r>
            <w:r>
              <w:rPr>
                <w:color w:val="000000"/>
                <w:sz w:val="28"/>
                <w:szCs w:val="28"/>
              </w:rPr>
              <w:t xml:space="preserve">Приведен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неполн</w:t>
            </w:r>
            <w:r>
              <w:rPr>
                <w:sz w:val="28"/>
                <w:szCs w:val="28"/>
              </w:rPr>
              <w:t xml:space="preserve">ые </w:t>
            </w:r>
            <w:r>
              <w:rPr>
                <w:color w:val="000000"/>
                <w:sz w:val="28"/>
                <w:szCs w:val="28"/>
              </w:rPr>
              <w:t xml:space="preserve">программа и методика испытаний. Полученные в ходе испытаний показатели назначения не в полной мере соответствуют </w:t>
            </w:r>
            <w:r>
              <w:rPr>
                <w:color w:val="000000"/>
                <w:sz w:val="28"/>
                <w:szCs w:val="28"/>
              </w:rPr>
              <w:t xml:space="preserve">заявленным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860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Дано подробное описание достигнутого результата. Есть видео и фото-подтверждения работающего образца/макета/модели. Приведена программа и методика испытаний. Полученные в ходе испытаний показатели назначения в полной мере соответствуют </w:t>
            </w:r>
            <w:r>
              <w:rPr>
                <w:color w:val="000000"/>
                <w:sz w:val="28"/>
                <w:szCs w:val="28"/>
              </w:rPr>
              <w:t xml:space="preserve">заявленным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9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0470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8"/>
                <w:szCs w:val="28"/>
              </w:rPr>
              <w:t xml:space="preserve">Критерий 5 Самостоятельность работы над проектом и уровень командной работы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Участник может описать ход работы над проектом, выделяет личный вклад в проект, но не может определить вклад каждого члена команды.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Уровень осведомлённости в профессиональной области, к которой </w:t>
            </w:r>
            <w:r>
              <w:rPr>
                <w:color w:val="000000"/>
                <w:sz w:val="28"/>
                <w:szCs w:val="28"/>
              </w:rPr>
              <w:t xml:space="preserve">относится проект не достаточен</w:t>
            </w:r>
            <w:r>
              <w:rPr>
                <w:color w:val="000000"/>
                <w:sz w:val="28"/>
                <w:szCs w:val="28"/>
              </w:rPr>
              <w:t xml:space="preserve"> для дискуссии.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0,5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2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Участник может описать ход работы над проектом, выделяет личный вклад в проект, но не может определить вклад каждого члена команды.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Уровень осведомлённости в профессиональной области, к которой </w:t>
            </w:r>
            <w:r>
              <w:rPr>
                <w:color w:val="000000"/>
                <w:sz w:val="28"/>
                <w:szCs w:val="28"/>
              </w:rPr>
              <w:t xml:space="preserve">относится проект достаточен</w:t>
            </w:r>
            <w:r>
              <w:rPr>
                <w:color w:val="000000"/>
                <w:sz w:val="28"/>
                <w:szCs w:val="28"/>
              </w:rPr>
              <w:t xml:space="preserve"> для дискуссии.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Участник может описать ход работы над проектом, выделяет личный вклад в проект и вклад каждого члена команды.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Уровень осведомлённости в профессиональной области, к которой относится проект, достаточен для дискуссии.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8"/>
              </w:rPr>
              <w:t xml:space="preserve">1,5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spacing w:line="360" w:lineRule="auto"/>
        <w:shd w:val="clear" w:color="auto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105" w:right="53" w:firstLine="4335"/>
        <w:spacing w:after="10" w:line="438" w:lineRule="auto"/>
      </w:pPr>
      <w:r>
        <w:t xml:space="preserve">Приложение 4</w:t>
      </w:r>
      <w:r/>
    </w:p>
    <w:p>
      <w:pPr>
        <w:ind w:left="4105" w:right="53" w:firstLine="5"/>
        <w:spacing w:after="10" w:line="438" w:lineRule="auto"/>
      </w:pPr>
      <w:r>
        <w:t xml:space="preserve">Лист ознакомления </w:t>
      </w:r>
      <w:r/>
    </w:p>
    <w:p>
      <w:pPr>
        <w:ind w:left="10" w:right="62" w:hanging="10"/>
        <w:jc w:val="center"/>
        <w:spacing w:after="23" w:line="259" w:lineRule="auto"/>
      </w:pPr>
      <w:r>
        <w:t xml:space="preserve">с Положением проведения Регионального конкурса Всероссийского конкурса научно-</w:t>
      </w:r>
      <w:r/>
    </w:p>
    <w:p>
      <w:pPr>
        <w:ind w:left="10" w:right="64" w:hanging="10"/>
        <w:jc w:val="center"/>
        <w:spacing w:after="23" w:line="259" w:lineRule="auto"/>
      </w:pPr>
      <w:r>
        <w:t xml:space="preserve">технологических проектов «Большие вызовы» в 2023/2024 учебном году в Новгородской области </w:t>
      </w:r>
      <w:r/>
    </w:p>
    <w:tbl>
      <w:tblPr>
        <w:tblStyle w:val="867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5847"/>
        <w:gridCol w:w="3473"/>
      </w:tblGrid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jc w:val="center"/>
              <w:spacing w:after="23" w:line="259" w:lineRule="auto"/>
            </w:pPr>
            <w:r>
              <w:t xml:space="preserve">№</w:t>
            </w:r>
            <w:r/>
          </w:p>
        </w:tc>
        <w:tc>
          <w:tcPr>
            <w:tcW w:w="5847" w:type="dxa"/>
            <w:textDirection w:val="lrTb"/>
            <w:noWrap w:val="false"/>
          </w:tcPr>
          <w:p>
            <w:pPr>
              <w:jc w:val="center"/>
              <w:spacing w:after="23" w:line="259" w:lineRule="auto"/>
            </w:pPr>
            <w:r>
              <w:t xml:space="preserve">ФИО участника</w:t>
            </w:r>
            <w:r/>
          </w:p>
        </w:tc>
        <w:tc>
          <w:tcPr>
            <w:tcW w:w="3473" w:type="dxa"/>
            <w:textDirection w:val="lrTb"/>
            <w:noWrap w:val="false"/>
          </w:tcPr>
          <w:p>
            <w:pPr>
              <w:jc w:val="center"/>
              <w:spacing w:after="23" w:line="259" w:lineRule="auto"/>
            </w:pPr>
            <w:r>
              <w:t xml:space="preserve">Подпись</w:t>
            </w:r>
            <w:r/>
          </w:p>
        </w:tc>
      </w:tr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jc w:val="center"/>
              <w:spacing w:after="23" w:line="259" w:lineRule="auto"/>
            </w:pPr>
            <w:r/>
            <w:r/>
          </w:p>
        </w:tc>
        <w:tc>
          <w:tcPr>
            <w:tcW w:w="5847" w:type="dxa"/>
            <w:textDirection w:val="lrTb"/>
            <w:noWrap w:val="false"/>
          </w:tcPr>
          <w:p>
            <w:pPr>
              <w:jc w:val="center"/>
              <w:spacing w:after="23" w:line="259" w:lineRule="auto"/>
            </w:pPr>
            <w:r/>
            <w:r/>
          </w:p>
        </w:tc>
        <w:tc>
          <w:tcPr>
            <w:tcW w:w="3473" w:type="dxa"/>
            <w:textDirection w:val="lrTb"/>
            <w:noWrap w:val="false"/>
          </w:tcPr>
          <w:p>
            <w:pPr>
              <w:jc w:val="center"/>
              <w:spacing w:after="23" w:line="259" w:lineRule="auto"/>
            </w:pPr>
            <w:r/>
            <w:r/>
          </w:p>
        </w:tc>
      </w:tr>
    </w:tbl>
    <w:p>
      <w:pPr>
        <w:ind w:left="10" w:right="64" w:hanging="10"/>
        <w:jc w:val="center"/>
        <w:spacing w:after="23" w:line="259" w:lineRule="auto"/>
      </w:pPr>
      <w:r/>
      <w:r/>
    </w:p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</w:pPr>
      <w:r>
        <w:t xml:space="preserve">Приложение №5 </w:t>
      </w:r>
      <w:r/>
    </w:p>
    <w:p>
      <w:pPr>
        <w:jc w:val="center"/>
      </w:pPr>
      <w:r>
        <w:t xml:space="preserve">СОГЛАСИЕ </w:t>
      </w:r>
      <w:r/>
    </w:p>
    <w:p>
      <w:pPr>
        <w:jc w:val="center"/>
      </w:pPr>
      <w:r>
        <w:t xml:space="preserve">родителей (законных представителей) на обработку персональных данных </w:t>
      </w:r>
      <w:r/>
    </w:p>
    <w:p>
      <w:pPr>
        <w:jc w:val="center"/>
      </w:pPr>
      <w:r>
        <w:t xml:space="preserve">участника Регионального конкурса Всероссийского конкурса научно-технологических проектов «Большие вызовы», проводимого в 2023-2024 учебном году </w:t>
      </w:r>
      <w:r/>
    </w:p>
    <w:p>
      <w:pPr>
        <w:jc w:val="both"/>
      </w:pPr>
      <w:r>
        <w:t xml:space="preserve">Я, _________________________________________________________________________________, паспорт </w:t>
      </w:r>
      <w:r>
        <w:t xml:space="preserve">серия_____________номер______________</w:t>
      </w:r>
      <w:r>
        <w:t xml:space="preserve">, выдан_________________________________ _______________________________________________________«___»______________________г., зарегистрирован по адресу: ___________________________________________________________, в со</w:t>
      </w:r>
      <w:r>
        <w:t xml:space="preserve">ответствии с требованиями статьи 9 Федерального закона от 27.07.06 №152-ФЗ «О персональных данных» подтверждаю свое согласие на обработку персональных данных моего ребенка __________________________________________________________________________________ г</w:t>
      </w:r>
      <w:r>
        <w:t xml:space="preserve">осударственным областным автономным общеобразовательным учреждением «Гимназия №3» Региональным центром выявления, поддержки и развития способностей и талантов детей и молодежи Новгородской области «Онфим» (далее - Оператор) и его структурным подразделениям</w:t>
      </w:r>
      <w:r>
        <w:t xml:space="preserve"> в соответствии с действующим законодательством в качестве участника Регионального конкурса Всероссийского конкурса научно-технологических проектов «Большие вызовы». </w:t>
      </w:r>
      <w:r/>
    </w:p>
    <w:p>
      <w:pPr>
        <w:jc w:val="both"/>
      </w:pPr>
      <w:r>
        <w:t xml:space="preserve">К персональным данным, на обработку которых даётся согласие, относятся: </w:t>
      </w:r>
      <w:r/>
    </w:p>
    <w:p>
      <w:pPr>
        <w:ind w:firstLine="425"/>
        <w:jc w:val="both"/>
      </w:pPr>
      <w:r>
        <w:t xml:space="preserve">-</w:t>
      </w:r>
      <w:r>
        <w:tab/>
        <w:t xml:space="preserve">паспортные данные (данные свидетельства о рождении, данные о регистрации по месту жительства), гражданство ребенка; </w:t>
      </w:r>
      <w:r/>
    </w:p>
    <w:p>
      <w:pPr>
        <w:ind w:firstLine="425"/>
        <w:jc w:val="both"/>
      </w:pPr>
      <w:r>
        <w:t xml:space="preserve">-</w:t>
      </w:r>
      <w:r>
        <w:tab/>
        <w:t xml:space="preserve">паспортные данные родителя (законного представителя), содержащиеся в данном документе; - данные об образовательной организации; </w:t>
      </w:r>
      <w:r/>
    </w:p>
    <w:p>
      <w:pPr>
        <w:ind w:firstLine="425"/>
        <w:jc w:val="both"/>
      </w:pPr>
      <w:r>
        <w:t xml:space="preserve">-</w:t>
      </w:r>
      <w:r>
        <w:tab/>
        <w:t xml:space="preserve">возраст, класс обучения; </w:t>
      </w:r>
      <w:r/>
    </w:p>
    <w:p>
      <w:pPr>
        <w:ind w:firstLine="425"/>
        <w:jc w:val="both"/>
      </w:pPr>
      <w:r>
        <w:t xml:space="preserve">-</w:t>
      </w:r>
      <w:r>
        <w:tab/>
        <w:t xml:space="preserve">фото-, аудио- и видеоматериалы; </w:t>
      </w:r>
      <w:r/>
    </w:p>
    <w:p>
      <w:pPr>
        <w:ind w:firstLine="425"/>
        <w:jc w:val="both"/>
      </w:pPr>
      <w:r>
        <w:t xml:space="preserve">-</w:t>
      </w:r>
      <w:r>
        <w:tab/>
        <w:t xml:space="preserve">сведения, содержащие информацию о номере домашнего телефона, мобильного телефона, личной электронной почте ребенка и родителей (законных представителей); </w:t>
      </w:r>
      <w:r/>
    </w:p>
    <w:p>
      <w:pPr>
        <w:ind w:firstLine="425"/>
        <w:jc w:val="both"/>
      </w:pPr>
      <w:r>
        <w:t xml:space="preserve">-</w:t>
      </w:r>
      <w:r>
        <w:tab/>
        <w:t xml:space="preserve">паспорт проекта; </w:t>
      </w:r>
      <w:r/>
    </w:p>
    <w:p>
      <w:pPr>
        <w:ind w:firstLine="425"/>
        <w:jc w:val="both"/>
      </w:pPr>
      <w:r>
        <w:t xml:space="preserve">-</w:t>
      </w:r>
      <w:r>
        <w:tab/>
        <w:t xml:space="preserve">проектная работа, предоставленная на Региональный конкурс. </w:t>
      </w:r>
      <w:r/>
    </w:p>
    <w:p>
      <w:pPr>
        <w:jc w:val="both"/>
      </w:pPr>
      <w:r>
        <w:t xml:space="preserve">Цель обработки персональных данных: </w:t>
      </w:r>
      <w:r/>
    </w:p>
    <w:p>
      <w:pPr>
        <w:ind w:firstLine="425"/>
        <w:jc w:val="both"/>
      </w:pPr>
      <w:r>
        <w:t xml:space="preserve">-</w:t>
      </w:r>
      <w:r>
        <w:tab/>
        <w:t xml:space="preserve">обеспечение соблюдения требований законодательства Российской Федерации; </w:t>
      </w:r>
      <w:r/>
    </w:p>
    <w:p>
      <w:pPr>
        <w:ind w:firstLine="425"/>
        <w:jc w:val="both"/>
      </w:pPr>
      <w:r>
        <w:t xml:space="preserve">-</w:t>
      </w:r>
      <w:r>
        <w:tab/>
        <w:t xml:space="preserve">представлени</w:t>
      </w:r>
      <w:r>
        <w:t xml:space="preserve">е участника во время выступления на Региональном конкурсе Всероссийского конкурса научно-технологических проектов «Большие вызовы», проводимого в 2023-2024 учебном году, установление взаимодействия с участником во время подготовки к Региональному конкурсу;</w:t>
      </w:r>
      <w:r/>
    </w:p>
    <w:p>
      <w:pPr>
        <w:ind w:firstLine="425"/>
        <w:jc w:val="both"/>
      </w:pPr>
      <w:r>
        <w:t xml:space="preserve">- публикация персональных данных участника, а также загруженных им файлов на сайте Регионального конкурса и сайте Организатора, публикация работы на сайте https://центронфим</w:t>
      </w:r>
      <w:r>
        <w:t xml:space="preserve">.р</w:t>
      </w:r>
      <w:r>
        <w:t xml:space="preserve">ф/; </w:t>
      </w:r>
      <w:r/>
    </w:p>
    <w:p>
      <w:pPr>
        <w:ind w:firstLine="425"/>
        <w:jc w:val="both"/>
      </w:pPr>
      <w:r>
        <w:t xml:space="preserve">- публикация материалов в социальных сетях и на сайте ГОАОУ «Гимназия №3» Регионального центра  «Онфим», в социальных сетях и на сайтах учреждений, осуществляющих управление в сфере образования, СМИ, новостных каналов учредителя; </w:t>
      </w:r>
      <w:r/>
    </w:p>
    <w:p>
      <w:pPr>
        <w:ind w:firstLine="425"/>
        <w:jc w:val="both"/>
      </w:pPr>
      <w:r>
        <w:t xml:space="preserve">-</w:t>
      </w:r>
      <w:r>
        <w:tab/>
        <w:t xml:space="preserve">предоставление фотоматериалов в качестве отчета об участии в мероприятии по месту требования; </w:t>
      </w:r>
      <w:r/>
    </w:p>
    <w:p>
      <w:pPr>
        <w:ind w:firstLine="425"/>
        <w:jc w:val="both"/>
      </w:pPr>
      <w:r>
        <w:t xml:space="preserve">- предоставление материалов конкурсанта на оценку экспертам Регионального конкурса и экспертам Организатора, а также проведение перекрестной экспертизы работ по требованию Организатора. </w:t>
      </w:r>
      <w:r/>
    </w:p>
    <w:p>
      <w:pPr>
        <w:ind w:firstLine="283"/>
        <w:jc w:val="both"/>
      </w:pPr>
      <w: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  <w:r/>
    </w:p>
    <w:p>
      <w:pPr>
        <w:ind w:firstLine="283"/>
        <w:jc w:val="both"/>
      </w:pPr>
      <w:r>
        <w:t xml:space="preserve"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 </w:t>
      </w:r>
      <w:r/>
    </w:p>
    <w:p>
      <w:pPr>
        <w:ind w:firstLine="283"/>
        <w:jc w:val="both"/>
      </w:pPr>
      <w:r>
        <w:t xml:space="preserve"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</w:t>
      </w:r>
      <w:r>
        <w:t xml:space="preserve">блокирование, удаление, уничтожение персональных данных (только те, которые применяются реально). </w:t>
      </w:r>
      <w:r/>
    </w:p>
    <w:p>
      <w:pPr>
        <w:ind w:firstLine="283"/>
        <w:jc w:val="both"/>
      </w:pPr>
      <w:r>
        <w:t xml:space="preserve">Оператор вправе обрабатывать мои персональные дан</w:t>
      </w:r>
      <w:r>
        <w:t xml:space="preserve">ные и персональные данные моего ребенка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</w:t>
      </w:r>
      <w:r>
        <w:t xml:space="preserve">нным органам. Оператор вправе использовать полученные фото-, аудио- и видеоматериалы в целях популяризации конкурса в СМИ или с помощью распространения в новостных каналах разного вида и рода в сети «Интернет», в том числе в социальных сетях, передавать их</w:t>
      </w:r>
      <w:r>
        <w:t xml:space="preserve"> учредителю для дальнейшей публикации в СМИ и сети «Интернет». Оператор может использовать полученные фото-, видео- и аудиоматериалы также с целью популяризации Уставной деятельности учреждения, в том числе в СМИ и сети «Интернет» в разных видах и формах. </w:t>
      </w:r>
      <w:r/>
    </w:p>
    <w:p>
      <w:pPr>
        <w:ind w:firstLine="283"/>
        <w:jc w:val="both"/>
      </w:pPr>
      <w:r>
        <w:t xml:space="preserve">Я подтверждаю свое ознакомление и согласие с публикацией полной версии работы моего ребенка на сайте Оператора, включая полные данные участника, а также не возражаю против </w:t>
      </w:r>
      <w:r>
        <w:t xml:space="preserve">онлайнтрансляции</w:t>
      </w:r>
      <w:r>
        <w:t xml:space="preserve"> мероприятия с участием моего ребенка посредством сети «Интернет» в формате потокового видео, дальнейшей его записью, хранением и передачей (при необходимости) Организатору Всероссийского конкурса (ОФ «Талант и успех»). </w:t>
      </w:r>
      <w:r/>
    </w:p>
    <w:p>
      <w:pPr>
        <w:ind w:firstLine="283"/>
        <w:jc w:val="both"/>
      </w:pPr>
      <w:r>
        <w:t xml:space="preserve">Срок хранения персональных данных осуществляется в соответствии с действующим законодательством. </w:t>
      </w:r>
      <w:r/>
    </w:p>
    <w:p>
      <w:pPr>
        <w:ind w:firstLine="283"/>
        <w:jc w:val="both"/>
      </w:pPr>
      <w:r>
        <w:t xml:space="preserve">Настоящее согласие, данное мной, действует бессрочно. </w:t>
      </w:r>
      <w:r/>
    </w:p>
    <w:p>
      <w:pPr>
        <w:ind w:firstLine="283"/>
        <w:jc w:val="both"/>
      </w:pPr>
      <w:r>
        <w:t xml:space="preserve">Я подтверждаю, что мне известно </w:t>
      </w:r>
      <w:r>
        <w:t xml:space="preserve">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 </w:t>
      </w:r>
      <w:r/>
    </w:p>
    <w:p>
      <w:pPr>
        <w:ind w:firstLine="283"/>
        <w:jc w:val="both"/>
      </w:pPr>
      <w:r>
        <w:t xml:space="preserve">Об ответственности за достоверность представленных сведений </w:t>
      </w:r>
      <w:r>
        <w:t xml:space="preserve">предупрежден</w:t>
      </w:r>
      <w:r>
        <w:t xml:space="preserve"> (предупреждена) (нужное подчеркнуть). </w:t>
      </w:r>
      <w:r/>
    </w:p>
    <w:p>
      <w:pPr>
        <w:ind w:firstLine="283"/>
        <w:jc w:val="both"/>
      </w:pPr>
      <w:r>
        <w:t xml:space="preserve">Подтверждаю, что ознакомле</w:t>
      </w:r>
      <w:r>
        <w:t xml:space="preserve">н(</w:t>
      </w:r>
      <w:r>
        <w:t xml:space="preserve">-а) с Положением о защите персональных данных и положениями Федерального закона от 27 июля 2006 года № 152 – ФЗ «О персональных данных». Права и обязанности в области защиты персональных данных мне разъяснены. </w:t>
      </w:r>
      <w:r/>
    </w:p>
    <w:p>
      <w:pPr>
        <w:jc w:val="both"/>
      </w:pPr>
      <w:r>
        <w:t xml:space="preserve"> </w:t>
      </w:r>
      <w:r/>
    </w:p>
    <w:p>
      <w:pPr>
        <w:jc w:val="both"/>
      </w:pPr>
      <w:r>
        <w:t xml:space="preserve"> </w:t>
      </w:r>
      <w:r/>
    </w:p>
    <w:p>
      <w:pPr>
        <w:jc w:val="both"/>
      </w:pPr>
      <w:r>
        <w:t xml:space="preserve">Подпись</w:t>
      </w:r>
      <w:r>
        <w:t xml:space="preserve">____________________________________ (___________________) </w:t>
      </w:r>
      <w:r/>
    </w:p>
    <w:p>
      <w:pPr>
        <w:jc w:val="both"/>
      </w:pPr>
      <w:r>
        <w:t xml:space="preserve"> </w:t>
      </w:r>
      <w:r/>
    </w:p>
    <w:p>
      <w:pPr>
        <w:jc w:val="both"/>
      </w:pPr>
      <w:r>
        <w:t xml:space="preserve">Дата заполнения: «___»_________________20__ г. </w:t>
      </w:r>
      <w:r/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40" w:lineRule="exact"/>
        <w:rPr>
          <w:b/>
        </w:rPr>
      </w:pPr>
      <w:r>
        <w:rPr>
          <w:color w:val="000000"/>
          <w:spacing w:val="-3"/>
        </w:rPr>
        <w:t xml:space="preserve">Приложение № 6</w:t>
      </w:r>
      <w:r>
        <w:rPr>
          <w:b/>
        </w:rPr>
      </w:r>
      <w:r>
        <w:rPr>
          <w:b/>
        </w:rPr>
      </w:r>
    </w:p>
    <w:p>
      <w:pPr>
        <w:jc w:val="center"/>
        <w:spacing w:line="240" w:lineRule="exact"/>
        <w:rPr>
          <w:b/>
        </w:rPr>
      </w:pPr>
      <w:r>
        <w:rPr>
          <w:b/>
        </w:rPr>
        <w:t xml:space="preserve">ЗАЯВКА</w:t>
      </w:r>
      <w:r>
        <w:rPr>
          <w:b/>
        </w:rPr>
      </w:r>
      <w:r>
        <w:rPr>
          <w:b/>
        </w:rPr>
      </w:r>
    </w:p>
    <w:p>
      <w:pPr>
        <w:jc w:val="center"/>
        <w:spacing w:before="120" w:line="240" w:lineRule="exact"/>
        <w:rPr>
          <w:b/>
        </w:rPr>
      </w:pPr>
      <w:r>
        <w:rPr>
          <w:b/>
        </w:rPr>
        <w:t xml:space="preserve">на участие в Региональном треке Всероссийском конкурсе научно-технологических проектов «Большие вызовы» в 2023/2024 учебном году.</w:t>
      </w:r>
      <w:r>
        <w:rPr>
          <w:b/>
        </w:rPr>
      </w:r>
      <w:r>
        <w:rPr>
          <w:b/>
        </w:rPr>
      </w:r>
    </w:p>
    <w:p>
      <w:pPr>
        <w:jc w:val="center"/>
      </w:pPr>
      <w:r/>
      <w:r/>
    </w:p>
    <w:tbl>
      <w:tblPr>
        <w:tblW w:w="9573" w:type="dxa"/>
        <w:tblInd w:w="-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"/>
        <w:gridCol w:w="3398"/>
        <w:gridCol w:w="430"/>
        <w:gridCol w:w="2446"/>
        <w:gridCol w:w="3082"/>
        <w:gridCol w:w="109"/>
      </w:tblGrid>
      <w:tr>
        <w:tblPrEx/>
        <w:trPr>
          <w:cantSplit/>
          <w:gridAfter w:val="1"/>
          <w:gridBefore w:val="1"/>
          <w:trHeight w:val="70"/>
        </w:trPr>
        <w:tc>
          <w:tcPr>
            <w:gridSpan w:val="2"/>
            <w:tcW w:w="3828" w:type="dxa"/>
            <w:textDirection w:val="lrTb"/>
            <w:noWrap w:val="false"/>
          </w:tcPr>
          <w:p>
            <w:r>
              <w:t xml:space="preserve">Фамилия </w:t>
            </w:r>
            <w:r/>
          </w:p>
          <w:p>
            <w:r>
              <w:t xml:space="preserve">Имя</w:t>
            </w:r>
            <w:r/>
          </w:p>
          <w:p>
            <w:r>
              <w:t xml:space="preserve">Отчество</w:t>
            </w:r>
            <w:r/>
          </w:p>
        </w:tc>
        <w:tc>
          <w:tcPr>
            <w:gridSpan w:val="2"/>
            <w:tcW w:w="5528" w:type="dxa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cantSplit/>
          <w:gridAfter w:val="1"/>
          <w:gridBefore w:val="1"/>
          <w:trHeight w:val="70"/>
        </w:trPr>
        <w:tc>
          <w:tcPr>
            <w:gridSpan w:val="2"/>
            <w:tcW w:w="3828" w:type="dxa"/>
            <w:textDirection w:val="lrTb"/>
            <w:noWrap w:val="false"/>
          </w:tcPr>
          <w:p>
            <w:r>
              <w:t xml:space="preserve">Дата рождения</w:t>
            </w:r>
            <w:r/>
          </w:p>
        </w:tc>
        <w:tc>
          <w:tcPr>
            <w:gridSpan w:val="2"/>
            <w:tcW w:w="5528" w:type="dxa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gridAfter w:val="1"/>
          <w:gridBefore w:val="1"/>
          <w:trHeight w:val="276"/>
        </w:trPr>
        <w:tc>
          <w:tcPr>
            <w:gridSpan w:val="2"/>
            <w:tcW w:w="3828" w:type="dxa"/>
            <w:vMerge w:val="restart"/>
            <w:textDirection w:val="lrTb"/>
            <w:noWrap w:val="false"/>
          </w:tcPr>
          <w:p>
            <w:r>
              <w:t xml:space="preserve">Адрес регистрации </w:t>
            </w:r>
            <w:r/>
          </w:p>
        </w:tc>
        <w:tc>
          <w:tcPr>
            <w:gridSpan w:val="2"/>
            <w:tcW w:w="5528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gridAfter w:val="1"/>
          <w:gridBefore w:val="1"/>
          <w:trHeight w:val="276"/>
        </w:trPr>
        <w:tc>
          <w:tcPr>
            <w:gridSpan w:val="2"/>
            <w:tcW w:w="3828" w:type="dxa"/>
            <w:vMerge w:val="restart"/>
            <w:textDirection w:val="lrTb"/>
            <w:noWrap w:val="false"/>
          </w:tcPr>
          <w:p>
            <w:r>
              <w:t xml:space="preserve">№ СНИЛС</w:t>
            </w:r>
            <w:r/>
          </w:p>
        </w:tc>
        <w:tc>
          <w:tcPr>
            <w:gridSpan w:val="2"/>
            <w:tcW w:w="5528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cantSplit/>
          <w:gridAfter w:val="1"/>
          <w:gridBefore w:val="1"/>
          <w:trHeight w:val="70"/>
        </w:trPr>
        <w:tc>
          <w:tcPr>
            <w:gridSpan w:val="2"/>
            <w:tcW w:w="3828" w:type="dxa"/>
            <w:textDirection w:val="lrTb"/>
            <w:noWrap w:val="false"/>
          </w:tcPr>
          <w:p>
            <w:r>
              <w:t xml:space="preserve">Телефон</w:t>
            </w:r>
            <w:r/>
          </w:p>
        </w:tc>
        <w:tc>
          <w:tcPr>
            <w:gridSpan w:val="2"/>
            <w:tcW w:w="5528" w:type="dxa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gridAfter w:val="1"/>
          <w:gridBefore w:val="1"/>
          <w:trHeight w:val="276"/>
        </w:trPr>
        <w:tc>
          <w:tcPr>
            <w:gridSpan w:val="2"/>
            <w:tcW w:w="3828" w:type="dxa"/>
            <w:vMerge w:val="restart"/>
            <w:textDirection w:val="lrTb"/>
            <w:noWrap w:val="false"/>
          </w:tcPr>
          <w:p>
            <w:r>
              <w:rPr>
                <w:lang w:val="en-US"/>
              </w:rPr>
              <w:t xml:space="preserve">E-mail</w:t>
            </w:r>
            <w:r>
              <w:t xml:space="preserve">:</w:t>
            </w:r>
            <w:r/>
          </w:p>
        </w:tc>
        <w:tc>
          <w:tcPr>
            <w:gridSpan w:val="2"/>
            <w:tcW w:w="5528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cantSplit/>
          <w:gridAfter w:val="1"/>
          <w:gridBefore w:val="1"/>
          <w:trHeight w:val="263"/>
        </w:trPr>
        <w:tc>
          <w:tcPr>
            <w:gridSpan w:val="2"/>
            <w:tcW w:w="3828" w:type="dxa"/>
            <w:textDirection w:val="lrTb"/>
            <w:noWrap w:val="false"/>
          </w:tcPr>
          <w:p>
            <w:r>
              <w:t xml:space="preserve">Фамилия </w:t>
            </w:r>
            <w:r/>
          </w:p>
          <w:p>
            <w:r>
              <w:t xml:space="preserve">Имя</w:t>
            </w:r>
            <w:r/>
          </w:p>
          <w:p>
            <w:r>
              <w:t xml:space="preserve">Отчество</w:t>
            </w:r>
            <w:r/>
          </w:p>
          <w:p>
            <w:r>
              <w:t xml:space="preserve">(Родителя/ законного представителя)</w:t>
            </w:r>
            <w:r/>
          </w:p>
        </w:tc>
        <w:tc>
          <w:tcPr>
            <w:gridSpan w:val="2"/>
            <w:tcW w:w="5528" w:type="dxa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cantSplit/>
          <w:gridAfter w:val="1"/>
          <w:gridBefore w:val="1"/>
          <w:trHeight w:val="70"/>
        </w:trPr>
        <w:tc>
          <w:tcPr>
            <w:gridSpan w:val="2"/>
            <w:tcW w:w="3828" w:type="dxa"/>
            <w:textDirection w:val="lrTb"/>
            <w:noWrap w:val="false"/>
          </w:tcPr>
          <w:p>
            <w:r>
              <w:t xml:space="preserve">Класс</w:t>
            </w:r>
            <w:r/>
          </w:p>
        </w:tc>
        <w:tc>
          <w:tcPr>
            <w:gridSpan w:val="2"/>
            <w:tcW w:w="5528" w:type="dxa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cantSplit/>
          <w:gridAfter w:val="1"/>
          <w:gridBefore w:val="1"/>
          <w:trHeight w:val="70"/>
        </w:trPr>
        <w:tc>
          <w:tcPr>
            <w:gridSpan w:val="2"/>
            <w:tcW w:w="3828" w:type="dxa"/>
            <w:textDirection w:val="lrTb"/>
            <w:noWrap w:val="false"/>
          </w:tcPr>
          <w:p>
            <w:r>
              <w:t xml:space="preserve">Образовательная организация (</w:t>
            </w:r>
            <w:r>
              <w:t xml:space="preserve">полное</w:t>
            </w:r>
            <w:r>
              <w:t xml:space="preserve">)</w:t>
            </w:r>
            <w:r/>
          </w:p>
        </w:tc>
        <w:tc>
          <w:tcPr>
            <w:gridSpan w:val="2"/>
            <w:tcW w:w="5528" w:type="dxa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gridAfter w:val="1"/>
          <w:gridBefore w:val="1"/>
          <w:trHeight w:val="276"/>
        </w:trPr>
        <w:tc>
          <w:tcPr>
            <w:gridSpan w:val="2"/>
            <w:tcW w:w="3828" w:type="dxa"/>
            <w:vMerge w:val="restart"/>
            <w:textDirection w:val="lrTb"/>
            <w:noWrap w:val="false"/>
          </w:tcPr>
          <w:p>
            <w:r>
              <w:t xml:space="preserve">№ сертификата дополнительного образования</w:t>
            </w:r>
            <w:r/>
          </w:p>
        </w:tc>
        <w:tc>
          <w:tcPr>
            <w:gridSpan w:val="2"/>
            <w:tcW w:w="5528" w:type="dxa"/>
            <w:vMerge w:val="restart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cantSplit/>
          <w:gridAfter w:val="1"/>
          <w:gridBefore w:val="1"/>
          <w:trHeight w:val="70"/>
        </w:trPr>
        <w:tc>
          <w:tcPr>
            <w:gridSpan w:val="2"/>
            <w:tcW w:w="3828" w:type="dxa"/>
            <w:textDirection w:val="lrTb"/>
            <w:noWrap w:val="false"/>
          </w:tcPr>
          <w:p>
            <w:r>
              <w:t xml:space="preserve">Тема исследования:</w:t>
            </w:r>
            <w:r/>
          </w:p>
        </w:tc>
        <w:tc>
          <w:tcPr>
            <w:gridSpan w:val="2"/>
            <w:tcW w:w="5528" w:type="dxa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cantSplit/>
          <w:gridAfter w:val="1"/>
          <w:gridBefore w:val="1"/>
          <w:trHeight w:val="70"/>
        </w:trPr>
        <w:tc>
          <w:tcPr>
            <w:gridSpan w:val="2"/>
            <w:tcW w:w="3828" w:type="dxa"/>
            <w:textDirection w:val="lrTb"/>
            <w:noWrap w:val="false"/>
          </w:tcPr>
          <w:p>
            <w:r>
              <w:t xml:space="preserve">Тематическое направление (из Приложения 1)</w:t>
            </w:r>
            <w:r/>
          </w:p>
        </w:tc>
        <w:tc>
          <w:tcPr>
            <w:gridSpan w:val="2"/>
            <w:tcW w:w="5528" w:type="dxa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/>
        <w:trPr>
          <w:cantSplit/>
          <w:gridAfter w:val="1"/>
          <w:gridBefore w:val="1"/>
          <w:trHeight w:val="70"/>
        </w:trPr>
        <w:tc>
          <w:tcPr>
            <w:gridSpan w:val="2"/>
            <w:tcW w:w="3828" w:type="dxa"/>
            <w:textDirection w:val="lrTb"/>
            <w:noWrap w:val="false"/>
          </w:tcPr>
          <w:p>
            <w:r>
              <w:t xml:space="preserve">Ф И О руководителя проекта,</w:t>
            </w:r>
            <w:r/>
          </w:p>
          <w:p>
            <w:r>
              <w:t xml:space="preserve"> тел для связи</w:t>
            </w:r>
            <w:r/>
          </w:p>
        </w:tc>
        <w:tc>
          <w:tcPr>
            <w:gridSpan w:val="2"/>
            <w:tcW w:w="5528" w:type="dxa"/>
            <w:textDirection w:val="lrTb"/>
            <w:noWrap w:val="false"/>
          </w:tcPr>
          <w:p>
            <w:pPr>
              <w:spacing w:before="120" w:line="240" w:lineRule="exact"/>
              <w:tabs>
                <w:tab w:val="left" w:pos="0" w:leader="none"/>
              </w:tabs>
            </w:pPr>
            <w:r/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6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76" w:type="dxa"/>
            <w:textDirection w:val="lrTb"/>
            <w:noWrap w:val="false"/>
          </w:tcPr>
          <w:p>
            <w:pPr>
              <w:spacing w:before="120" w:line="240" w:lineRule="exact"/>
            </w:pPr>
            <w:r/>
            <w:r/>
          </w:p>
          <w:p>
            <w:pPr>
              <w:spacing w:before="120" w:line="240" w:lineRule="exact"/>
            </w:pPr>
            <w:r>
              <w:t xml:space="preserve">___________________</w:t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91" w:type="dxa"/>
            <w:textDirection w:val="lrTb"/>
            <w:noWrap w:val="false"/>
          </w:tcPr>
          <w:p>
            <w:pPr>
              <w:spacing w:before="120" w:line="240" w:lineRule="exact"/>
            </w:pPr>
            <w:r/>
            <w:r/>
          </w:p>
          <w:p>
            <w:pPr>
              <w:jc w:val="right"/>
              <w:spacing w:before="120" w:line="240" w:lineRule="exact"/>
            </w:pPr>
            <w:r>
              <w:t xml:space="preserve">И.О. Фамилия</w:t>
            </w:r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6" w:type="dxa"/>
            <w:textDirection w:val="lrTb"/>
            <w:noWrap w:val="false"/>
          </w:tcPr>
          <w:p>
            <w:pPr>
              <w:spacing w:before="120" w:line="240" w:lineRule="exact"/>
            </w:pPr>
            <w:r/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76" w:type="dxa"/>
            <w:textDirection w:val="lrTb"/>
            <w:noWrap w:val="false"/>
          </w:tcPr>
          <w:p>
            <w:pPr>
              <w:jc w:val="center"/>
              <w:spacing w:line="240" w:lineRule="exact"/>
            </w:pPr>
            <w:r>
              <w:t xml:space="preserve">(подпись)</w:t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91" w:type="dxa"/>
            <w:textDirection w:val="lrTb"/>
            <w:noWrap w:val="false"/>
          </w:tcPr>
          <w:p>
            <w:pPr>
              <w:spacing w:before="120" w:line="240" w:lineRule="exact"/>
            </w:pPr>
            <w:r/>
            <w:r/>
          </w:p>
        </w:tc>
      </w:tr>
    </w:tbl>
    <w:p>
      <w:pPr>
        <w:jc w:val="both"/>
        <w:spacing w:line="240" w:lineRule="exact"/>
      </w:pPr>
      <w:r/>
      <w:r/>
    </w:p>
    <w:p>
      <w:pPr>
        <w:jc w:val="both"/>
        <w:spacing w:line="240" w:lineRule="exact"/>
        <w:rPr>
          <w:vertAlign w:val="superscript"/>
        </w:rPr>
      </w:pPr>
      <w:r>
        <w:t xml:space="preserve">Дата подачи заявки            « ___ » ____________20____ года</w:t>
      </w:r>
      <w:r>
        <w:tab/>
      </w:r>
      <w:r>
        <w:rPr>
          <w:vertAlign w:val="superscript"/>
        </w:rPr>
      </w:r>
      <w:r>
        <w:rPr>
          <w:vertAlign w:val="superscript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2" w:firstLine="567"/>
        <w:jc w:val="right"/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Приложение 7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2" w:firstLine="567"/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Регионального трека Всероссийского конкурса научно-технологических проектов «Большие вызовы» в 2023/2024 учебном году.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2" w:firstLine="567"/>
        <w:spacing w:line="259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637" w:type="dxa"/>
        <w:tblInd w:w="-11" w:type="dxa"/>
        <w:tblLayout w:type="fixed"/>
        <w:tblCellMar>
          <w:left w:w="11" w:type="dxa"/>
          <w:top w:w="8" w:type="dxa"/>
          <w:right w:w="51" w:type="dxa"/>
        </w:tblCellMar>
        <w:tblLook w:val="04A0" w:firstRow="1" w:lastRow="0" w:firstColumn="1" w:lastColumn="0" w:noHBand="0" w:noVBand="1"/>
      </w:tblPr>
      <w:tblGrid>
        <w:gridCol w:w="2577"/>
        <w:gridCol w:w="7060"/>
      </w:tblGrid>
      <w:tr>
        <w:tblPrEx/>
        <w:trPr>
          <w:trHeight w:val="14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7" w:type="dxa"/>
            <w:textDirection w:val="lrTb"/>
            <w:noWrap w:val="false"/>
          </w:tcPr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Сотникова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Валентиновна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0" w:type="dxa"/>
            <w:textDirection w:val="lrTb"/>
            <w:noWrap w:val="false"/>
          </w:tcPr>
          <w:p>
            <w:pPr>
              <w:ind w:left="142" w:right="195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департамента дополнительного образования и воспитания Министерства образования Новгородской области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142" w:right="195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4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7" w:type="dxa"/>
            <w:vMerge w:val="restart"/>
            <w:textDirection w:val="lrTb"/>
            <w:noWrap w:val="false"/>
          </w:tcPr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Паршонкова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Дарина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0" w:type="dxa"/>
            <w:vMerge w:val="restart"/>
            <w:textDirection w:val="lrTb"/>
            <w:noWrap w:val="false"/>
          </w:tcPr>
          <w:p>
            <w:pPr>
              <w:ind w:left="142" w:right="195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государственного областного автономного общеобразовательного учреждения «Гимназия №3»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4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7" w:type="dxa"/>
            <w:textDirection w:val="lrTb"/>
            <w:noWrap w:val="false"/>
          </w:tcPr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Карасева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0" w:type="dxa"/>
            <w:textDirection w:val="lrTb"/>
            <w:noWrap w:val="false"/>
          </w:tcPr>
          <w:p>
            <w:pPr>
              <w:ind w:left="142" w:right="195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r>
              <w:rPr>
                <w:sz w:val="28"/>
                <w:szCs w:val="28"/>
              </w:rPr>
              <w:t xml:space="preserve"> ГОАОУ «Гимназия №3» </w:t>
            </w:r>
            <w:r>
              <w:rPr>
                <w:sz w:val="28"/>
                <w:szCs w:val="28"/>
              </w:rPr>
              <w:t xml:space="preserve">– руководитель Регионального центра выявления, поддержки и развития способностей и талантов детей и молодежи  Новгородской области  «Онфим»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9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7" w:type="dxa"/>
            <w:textDirection w:val="lrTb"/>
            <w:noWrap w:val="false"/>
          </w:tcPr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Васильевна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0" w:type="dxa"/>
            <w:textDirection w:val="lrTb"/>
            <w:noWrap w:val="false"/>
          </w:tcPr>
          <w:p>
            <w:pPr>
              <w:ind w:left="142" w:right="195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методист Регионального центра выявления, поддержки и развития способностей и талантов детей и молодежи  Новгородской области  «Онфим» ГОАОУ «Гимназия №3»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4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7" w:type="dxa"/>
            <w:textDirection w:val="lrTb"/>
            <w:noWrap w:val="false"/>
          </w:tcPr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Даней</w:t>
            </w:r>
            <w:r>
              <w:rPr>
                <w:sz w:val="28"/>
                <w:szCs w:val="28"/>
              </w:rPr>
              <w:t xml:space="preserve">кин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0" w:type="dxa"/>
            <w:textDirection w:val="lrTb"/>
            <w:noWrap w:val="false"/>
          </w:tcPr>
          <w:p>
            <w:pPr>
              <w:ind w:left="142" w:right="195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проректор по образовательной деятельности федерального государственного бюджетного образовательного учреждения высшего образования «Новгородского государственного университета им. Ярослава Мудрого»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9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7" w:type="dxa"/>
            <w:textDirection w:val="lrTb"/>
            <w:noWrap w:val="false"/>
          </w:tcPr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Харламов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Константин Николаевич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0" w:type="dxa"/>
            <w:textDirection w:val="lrTb"/>
            <w:noWrap w:val="false"/>
          </w:tcPr>
          <w:p>
            <w:pPr>
              <w:ind w:left="142" w:right="195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директор акционерного общества «Управляющая компания инновационного научно-технологического центра «Интеллектуальная электроника – Валдай»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6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7" w:type="dxa"/>
            <w:textDirection w:val="lrTb"/>
            <w:noWrap w:val="false"/>
          </w:tcPr>
          <w:p>
            <w:pPr>
              <w:ind w:left="283" w:firstLine="9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О</w:t>
            </w:r>
            <w:r>
              <w:rPr>
                <w:sz w:val="28"/>
                <w:szCs w:val="28"/>
                <w:highlight w:val="none"/>
              </w:rPr>
              <w:t xml:space="preserve">рлова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283" w:firstLine="9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Ирина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283" w:firstLine="9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none"/>
              </w:rPr>
              <w:t xml:space="preserve">Борисовна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0" w:type="dxa"/>
            <w:textDirection w:val="lrTb"/>
            <w:noWrap w:val="false"/>
          </w:tcPr>
          <w:p>
            <w:pPr>
              <w:ind w:left="142" w:right="195" w:firstLine="9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Инженер по подготовке кадров отдела по работе с персоналом акционерного общества «Научно-производственное объединение «КВАНТ»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15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7" w:type="dxa"/>
            <w:textDirection w:val="lrTb"/>
            <w:noWrap w:val="false"/>
          </w:tcPr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Осьмак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Андрей Валерьевич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0" w:type="dxa"/>
            <w:textDirection w:val="lrTb"/>
            <w:noWrap w:val="false"/>
          </w:tcPr>
          <w:p>
            <w:pPr>
              <w:ind w:left="142" w:right="195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инженерно-аналитического центра публичного акционерного общества «</w:t>
            </w:r>
            <w:r>
              <w:rPr>
                <w:sz w:val="28"/>
                <w:szCs w:val="28"/>
              </w:rPr>
              <w:t xml:space="preserve">Акрон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7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7" w:type="dxa"/>
            <w:vMerge w:val="restart"/>
            <w:textDirection w:val="lrTb"/>
            <w:noWrap w:val="false"/>
          </w:tcPr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Сарычева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Танзиля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0" w:type="dxa"/>
            <w:vMerge w:val="restart"/>
            <w:textDirection w:val="lrTb"/>
            <w:noWrap w:val="false"/>
          </w:tcPr>
          <w:p>
            <w:pPr>
              <w:ind w:left="142" w:right="195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государственного областного автономного учреждения «Новгородский </w:t>
            </w:r>
            <w:r>
              <w:rPr>
                <w:sz w:val="28"/>
                <w:szCs w:val="28"/>
              </w:rPr>
              <w:t xml:space="preserve">Кванториум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9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7" w:type="dxa"/>
            <w:vMerge w:val="restart"/>
            <w:textDirection w:val="lrTb"/>
            <w:noWrap w:val="false"/>
          </w:tcPr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Вобликова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283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0" w:type="dxa"/>
            <w:vMerge w:val="restart"/>
            <w:textDirection w:val="lrTb"/>
            <w:noWrap w:val="false"/>
          </w:tcPr>
          <w:p>
            <w:pPr>
              <w:ind w:left="142" w:right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института биотехнологий и химического инжиниринга федерального государственного бюджетного образовательного учреждения высшего образования «Новгородский государственный университет имени Ярослава Мудрого»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-15" w:right="5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0"/>
        <w:numPr>
          <w:ilvl w:val="0"/>
          <w:numId w:val="0"/>
        </w:numPr>
        <w:keepNext w:val="0"/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even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567" w:bottom="709" w:left="1134" w:header="584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Cambria Math">
    <w:panose1 w:val="02040503050406030204"/>
  </w:font>
  <w:font w:name="Noto Sans Symbols">
    <w:panose1 w:val="020B0502040504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11602401"/>
      <w:docPartObj>
        <w:docPartGallery w:val="Page Numbers (Bottom of Page)"/>
        <w:docPartUnique w:val="true"/>
      </w:docPartObj>
      <w:rPr>
        <w:sz w:val="20"/>
      </w:rPr>
    </w:sdtPr>
    <w:sdtContent>
      <w:sdt>
        <w:sdtPr>
          <w15:appearance w15:val="boundingBox"/>
          <w:id w:val="-1251809377"/>
          <w:docPartObj>
            <w:docPartGallery w:val="Page Numbers (Top of Page)"/>
            <w:docPartUnique w:val="true"/>
          </w:docPartObj>
          <w:rPr>
            <w:sz w:val="20"/>
          </w:rPr>
        </w:sdtPr>
        <w:sdtContent>
          <w:p>
            <w:pPr>
              <w:pStyle w:val="102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Страница </w:t>
            </w:r>
            <w:r>
              <w:rPr>
                <w:bCs/>
                <w:sz w:val="20"/>
              </w:rPr>
              <w:fldChar w:fldCharType="begin"/>
            </w:r>
            <w:r>
              <w:rPr>
                <w:bCs/>
                <w:sz w:val="20"/>
              </w:rPr>
              <w:instrText xml:space="preserve">PAGE</w:instrText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t xml:space="preserve">28</w:t>
            </w:r>
            <w:r>
              <w:rPr>
                <w:bCs/>
                <w:sz w:val="20"/>
              </w:rPr>
              <w:fldChar w:fldCharType="end"/>
            </w:r>
            <w:r>
              <w:rPr>
                <w:sz w:val="20"/>
              </w:rPr>
              <w:t xml:space="preserve"> из </w:t>
            </w:r>
            <w:r>
              <w:rPr>
                <w:bCs/>
                <w:sz w:val="20"/>
              </w:rPr>
              <w:fldChar w:fldCharType="begin"/>
            </w:r>
            <w:r>
              <w:rPr>
                <w:bCs/>
                <w:sz w:val="20"/>
              </w:rPr>
              <w:instrText xml:space="preserve">NUMPAGES</w:instrText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t xml:space="preserve">28</w:t>
            </w:r>
            <w:r>
              <w:rPr>
                <w:bCs/>
                <w:sz w:val="20"/>
              </w:rPr>
              <w:fldChar w:fldCharType="end"/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sdtContent>
      </w:sdt>
    </w:sdtContent>
  </w:sdt>
  <w:p>
    <w:pPr>
      <w:pStyle w:val="102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13537958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1028"/>
              <w:jc w:val="right"/>
            </w:pPr>
            <w:r>
              <w:rPr>
                <w:sz w:val="20"/>
              </w:rPr>
              <w:t xml:space="preserve">Страница </w:t>
            </w:r>
            <w:r>
              <w:rPr>
                <w:bCs/>
                <w:sz w:val="20"/>
              </w:rPr>
              <w:fldChar w:fldCharType="begin"/>
            </w:r>
            <w:r>
              <w:rPr>
                <w:bCs/>
                <w:sz w:val="20"/>
              </w:rPr>
              <w:instrText xml:space="preserve">PAGE</w:instrText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t xml:space="preserve">1</w:t>
            </w:r>
            <w:r>
              <w:rPr>
                <w:bCs/>
                <w:sz w:val="20"/>
              </w:rPr>
              <w:fldChar w:fldCharType="end"/>
            </w:r>
            <w:r>
              <w:rPr>
                <w:sz w:val="20"/>
              </w:rPr>
              <w:t xml:space="preserve"> из </w:t>
            </w:r>
            <w:r>
              <w:rPr>
                <w:bCs/>
                <w:sz w:val="20"/>
              </w:rPr>
              <w:fldChar w:fldCharType="begin"/>
            </w:r>
            <w:r>
              <w:rPr>
                <w:bCs/>
                <w:sz w:val="20"/>
              </w:rPr>
              <w:instrText xml:space="preserve">NUMPAGES</w:instrText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t xml:space="preserve">18</w:t>
            </w:r>
            <w:r>
              <w:rPr>
                <w:bCs/>
                <w:sz w:val="20"/>
              </w:rPr>
              <w:fldChar w:fldCharType="end"/>
            </w:r>
            <w:r/>
          </w:p>
        </w:sdtContent>
      </w:sdt>
    </w:sdtContent>
  </w:sdt>
  <w:p>
    <w:pPr>
      <w:pStyle w:val="102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color w:val="000000"/>
        </w:rPr>
        <w:t xml:space="preserve"> Например, противоречит Конституции Российской Федерации, Федеральному закону Российской Федерации </w:t>
      </w:r>
      <w:r>
        <w:rPr>
          <w:color w:val="000000"/>
        </w:rPr>
        <w:t xml:space="preserve">№ 152-ФЗ от 27 июля 2006 года «О персональных данных», Всеобщей декларацией прав человека, Хельсинкской декларацией Всемирной медицинской ассоциации «Этические принципы проведения медицинских исследований с участием людей в качестве субъектов исследования»</w:t>
      </w:r>
      <w:r/>
    </w:p>
  </w:footnote>
  <w:footnote w:id="3">
    <w:p>
      <w:r>
        <w:rPr>
          <w:vertAlign w:val="superscript"/>
        </w:rPr>
        <w:footnoteRef/>
      </w:r>
      <w:r>
        <w:t xml:space="preserve"> Во время проведения заочной экспертизы пункт 5 настоящих критериев принимает значение  “1 балл”. Во время проведения защит на финалах региональных этапов, заключительном этапе – оценка может быть изменена от 0,5 до 1,5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numPr>
        <w:ilvl w:val="0"/>
        <w:numId w:val="0"/>
      </w:numPr>
      <w:contextualSpacing/>
      <w:ind w:left="6096" w:right="34"/>
      <w:spacing w:before="0"/>
      <w:rPr>
        <w:b w:val="0"/>
        <w:sz w:val="24"/>
        <w:szCs w:val="24"/>
      </w:rPr>
    </w:pPr>
    <w:r>
      <w:rPr>
        <w:b w:val="0"/>
        <w:sz w:val="24"/>
        <w:szCs w:val="24"/>
      </w:rPr>
    </w:r>
    <w:r>
      <w:rPr>
        <w:b w:val="0"/>
        <w:sz w:val="24"/>
        <w:szCs w:val="24"/>
      </w:rPr>
    </w:r>
    <w:r>
      <w:rPr>
        <w:b w:val="0"/>
        <w:sz w:val="24"/>
        <w:szCs w:val="24"/>
      </w:rPr>
    </w:r>
  </w:p>
  <w:p>
    <w:pPr>
      <w:pStyle w:val="102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contextualSpacing/>
      <w:jc w:val="center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5" w:hanging="615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  <w:rPr>
        <w:vertAlign w:val="baseline"/>
      </w:rPr>
    </w:lvl>
    <w:lvl w:ilvl="2">
      <w:start w:val="1"/>
      <w:numFmt w:val="bullet"/>
      <w:isLgl w:val="false"/>
      <w:suff w:val="tab"/>
      <w:lvlText w:val="−"/>
      <w:lvlJc w:val="left"/>
      <w:pPr>
        <w:ind w:left="1854" w:hanging="72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decimal"/>
      <w:isLgl w:val="false"/>
      <w:suff w:val="tab"/>
      <w:lvlText w:val="%1.%2.−.%4."/>
      <w:lvlJc w:val="left"/>
      <w:pPr>
        <w:ind w:left="2781" w:hanging="1078"/>
      </w:pPr>
      <w:rPr>
        <w:vertAlign w:val="baseline"/>
      </w:rPr>
    </w:lvl>
    <w:lvl w:ilvl="4">
      <w:start w:val="1"/>
      <w:numFmt w:val="decimal"/>
      <w:isLgl w:val="false"/>
      <w:suff w:val="tab"/>
      <w:lvlText w:val="%1.%2.−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−.%4.%5.%6."/>
      <w:lvlJc w:val="left"/>
      <w:pPr>
        <w:ind w:left="4275" w:hanging="1440"/>
      </w:pPr>
      <w:rPr>
        <w:vertAlign w:val="baseline"/>
      </w:rPr>
    </w:lvl>
    <w:lvl w:ilvl="6">
      <w:start w:val="1"/>
      <w:numFmt w:val="decimal"/>
      <w:isLgl w:val="false"/>
      <w:suff w:val="tab"/>
      <w:lvlText w:val="%1.%2.−.%4.%5.%6.%7."/>
      <w:lvlJc w:val="left"/>
      <w:pPr>
        <w:ind w:left="5202" w:hanging="1797"/>
      </w:pPr>
      <w:rPr>
        <w:vertAlign w:val="baseline"/>
      </w:rPr>
    </w:lvl>
    <w:lvl w:ilvl="7">
      <w:start w:val="1"/>
      <w:numFmt w:val="decimal"/>
      <w:isLgl w:val="false"/>
      <w:suff w:val="tab"/>
      <w:lvlText w:val="%1.%2.−.%4.%5.%6.%7.%8."/>
      <w:lvlJc w:val="left"/>
      <w:pPr>
        <w:ind w:left="5769" w:hanging="1800"/>
      </w:pPr>
      <w:rPr>
        <w:vertAlign w:val="baseline"/>
      </w:rPr>
    </w:lvl>
    <w:lvl w:ilvl="8">
      <w:start w:val="1"/>
      <w:numFmt w:val="decimal"/>
      <w:isLgl w:val="false"/>
      <w:suff w:val="tab"/>
      <w:lvlText w:val="%1.%2.−.%4.%5.%6.%7.%8.%9."/>
      <w:lvlJc w:val="left"/>
      <w:pPr>
        <w:ind w:left="6696" w:hanging="2160"/>
      </w:pPr>
      <w:rPr>
        <w:vertAlign w:val="baseli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287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727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3447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887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607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047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•"/>
      <w:lvlJc w:val="left"/>
      <w:pPr>
        <w:ind w:left="2007" w:hanging="360"/>
      </w:pPr>
      <w:rPr>
        <w:rFonts w:hint="default" w:ascii="Times New Roman" w:hAnsi="Times New Roman" w:eastAsia="Times New Roman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bullet"/>
      <w:isLgl w:val="false"/>
      <w:suff w:val="tab"/>
      <w:lvlText w:val=""/>
      <w:lvlJc w:val="left"/>
      <w:pPr>
        <w:ind w:left="1854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54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5331" w:hanging="1080"/>
      </w:pPr>
      <w:rPr>
        <w:rFonts w:hint="default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748" w:hanging="1080"/>
      </w:pPr>
      <w:rPr>
        <w:rFonts w:hint="default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8525" w:hanging="1440"/>
      </w:pPr>
      <w:rPr>
        <w:rFonts w:hint="default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302" w:hanging="1800"/>
      </w:pPr>
      <w:rPr>
        <w:rFonts w:hint="default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719" w:hanging="1800"/>
      </w:pPr>
      <w:rPr>
        <w:rFonts w:hint="default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496" w:hanging="2160"/>
      </w:pPr>
      <w:rPr>
        <w:rFonts w:hint="default"/>
        <w:b w:val="0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5" w:hanging="615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  <w:rPr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79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799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  <w:rPr>
        <w:vertAlign w:val="baseline"/>
      </w:rPr>
    </w:lvl>
  </w:abstractNum>
  <w:abstractNum w:abstractNumId="21">
    <w:multiLevelType w:val="hybridMultilevel"/>
    <w:lvl w:ilvl="0">
      <w:start w:val="1"/>
      <w:numFmt w:val="decimal"/>
      <w:pStyle w:val="1010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 w:ascii="Times New Roman" w:hAnsi="Times New Roman"/>
        <w:sz w:val="26"/>
        <w:szCs w:val="26"/>
      </w:rPr>
    </w:lvl>
    <w:lvl w:ilvl="1">
      <w:start w:val="1"/>
      <w:numFmt w:val="decimal"/>
      <w:pStyle w:val="1011"/>
      <w:isLgl w:val="false"/>
      <w:suff w:val="tab"/>
      <w:lvlText w:val="%1.%2."/>
      <w:lvlJc w:val="left"/>
      <w:pPr>
        <w:ind w:left="576" w:hanging="576"/>
        <w:tabs>
          <w:tab w:val="num" w:pos="576" w:leader="none"/>
        </w:tabs>
      </w:pPr>
      <w:rPr>
        <w:rFonts w:hint="default"/>
        <w:b w:val="0"/>
        <w:sz w:val="26"/>
        <w:szCs w:val="26"/>
      </w:rPr>
    </w:lvl>
    <w:lvl w:ilvl="2">
      <w:start w:val="1"/>
      <w:numFmt w:val="decimal"/>
      <w:isLgl w:val="false"/>
      <w:suff w:val="tab"/>
      <w:lvlText w:val="8.%3."/>
      <w:lvlJc w:val="left"/>
      <w:pPr>
        <w:ind w:left="1260" w:hanging="360"/>
        <w:tabs>
          <w:tab w:val="num" w:pos="1260" w:leader="none"/>
        </w:tabs>
      </w:pPr>
      <w:rPr>
        <w:rFonts w:hint="default"/>
        <w:sz w:val="26"/>
        <w:szCs w:val="2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24" w:hanging="864"/>
        <w:tabs>
          <w:tab w:val="num" w:pos="1224" w:leader="none"/>
        </w:tabs>
      </w:pPr>
      <w:rPr>
        <w:rFonts w:hint="default" w:ascii="Times New Roman" w:hAnsi="Times New Roman"/>
        <w:i w:val="0"/>
        <w:sz w:val="26"/>
        <w:szCs w:val="26"/>
      </w:rPr>
    </w:lvl>
    <w:lvl w:ilvl="4">
      <w:start w:val="1"/>
      <w:numFmt w:val="russianLower"/>
      <w:isLgl w:val="false"/>
      <w:suff w:val="tab"/>
      <w:lvlText w:val="%5)"/>
      <w:lvlJc w:val="left"/>
      <w:pPr>
        <w:ind w:left="1800" w:hanging="360"/>
        <w:tabs>
          <w:tab w:val="num" w:pos="1800" w:leader="none"/>
        </w:tabs>
      </w:pPr>
      <w:rPr>
        <w:rFonts w:hint="default"/>
        <w:sz w:val="26"/>
        <w:szCs w:val="26"/>
      </w:rPr>
    </w:lvl>
    <w:lvl w:ilvl="5">
      <w:start w:val="1"/>
      <w:numFmt w:val="decimal"/>
      <w:pStyle w:val="1013"/>
      <w:isLgl w:val="false"/>
      <w:suff w:val="tab"/>
      <w:lvlText w:val="%5.%6.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pStyle w:val="1014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pStyle w:val="1015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pStyle w:val="1016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  <w:color w:val="38383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5" w:hanging="615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1713" w:hanging="719"/>
      </w:pPr>
      <w:rPr>
        <w:rFonts w:ascii="Times New Roman" w:hAnsi="Times New Roman" w:eastAsia="Times New Roman" w:cs="Times New Roman"/>
        <w:b w:val="0"/>
        <w:sz w:val="24"/>
        <w:szCs w:val="24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78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797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  <w:rPr>
        <w:vertAlign w:val="baseline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21"/>
  </w:num>
  <w:num w:numId="2">
    <w:abstractNumId w:val="5"/>
  </w:num>
  <w:num w:numId="3">
    <w:abstractNumId w:val="26"/>
  </w:num>
  <w:num w:numId="4">
    <w:abstractNumId w:val="15"/>
  </w:num>
  <w:num w:numId="5">
    <w:abstractNumId w:val="8"/>
  </w:num>
  <w:num w:numId="6">
    <w:abstractNumId w:val="13"/>
  </w:num>
  <w:num w:numId="7">
    <w:abstractNumId w:val="6"/>
  </w:num>
  <w:num w:numId="8">
    <w:abstractNumId w:val="9"/>
  </w:num>
  <w:num w:numId="9">
    <w:abstractNumId w:val="10"/>
  </w:num>
  <w:num w:numId="10">
    <w:abstractNumId w:val="14"/>
  </w:num>
  <w:num w:numId="11">
    <w:abstractNumId w:val="25"/>
  </w:num>
  <w:num w:numId="12">
    <w:abstractNumId w:val="0"/>
  </w:num>
  <w:num w:numId="13">
    <w:abstractNumId w:val="20"/>
  </w:num>
  <w:num w:numId="14">
    <w:abstractNumId w:val="17"/>
  </w:num>
  <w:num w:numId="15">
    <w:abstractNumId w:val="23"/>
  </w:num>
  <w:num w:numId="16">
    <w:abstractNumId w:val="4"/>
  </w:num>
  <w:num w:numId="17">
    <w:abstractNumId w:val="22"/>
  </w:num>
  <w:num w:numId="18">
    <w:abstractNumId w:val="11"/>
  </w:num>
  <w:num w:numId="19">
    <w:abstractNumId w:val="24"/>
  </w:num>
  <w:num w:numId="20">
    <w:abstractNumId w:val="12"/>
  </w:num>
  <w:num w:numId="21">
    <w:abstractNumId w:val="2"/>
  </w:num>
  <w:num w:numId="22">
    <w:abstractNumId w:val="3"/>
  </w:num>
  <w:num w:numId="23">
    <w:abstractNumId w:val="1"/>
  </w:num>
  <w:num w:numId="24">
    <w:abstractNumId w:val="19"/>
  </w:num>
  <w:num w:numId="25">
    <w:abstractNumId w:val="16"/>
  </w:num>
  <w:num w:numId="26">
    <w:abstractNumId w:val="1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33">
    <w:name w:val="Title Char"/>
    <w:basedOn w:val="840"/>
    <w:link w:val="855"/>
    <w:uiPriority w:val="10"/>
    <w:rPr>
      <w:sz w:val="48"/>
      <w:szCs w:val="48"/>
    </w:rPr>
  </w:style>
  <w:style w:type="character" w:styleId="834">
    <w:name w:val="Subtitle Char"/>
    <w:basedOn w:val="840"/>
    <w:link w:val="857"/>
    <w:uiPriority w:val="11"/>
    <w:rPr>
      <w:sz w:val="24"/>
      <w:szCs w:val="24"/>
    </w:rPr>
  </w:style>
  <w:style w:type="character" w:styleId="835">
    <w:name w:val="Quote Char"/>
    <w:link w:val="859"/>
    <w:uiPriority w:val="29"/>
    <w:rPr>
      <w:i/>
    </w:rPr>
  </w:style>
  <w:style w:type="character" w:styleId="836">
    <w:name w:val="Intense Quote Char"/>
    <w:link w:val="861"/>
    <w:uiPriority w:val="30"/>
    <w:rPr>
      <w:i/>
    </w:rPr>
  </w:style>
  <w:style w:type="character" w:styleId="837">
    <w:name w:val="Footnote Text Char"/>
    <w:link w:val="993"/>
    <w:uiPriority w:val="99"/>
    <w:rPr>
      <w:sz w:val="18"/>
    </w:rPr>
  </w:style>
  <w:style w:type="character" w:styleId="838">
    <w:name w:val="Endnote Text Char"/>
    <w:link w:val="996"/>
    <w:uiPriority w:val="99"/>
    <w:rPr>
      <w:sz w:val="20"/>
    </w:rPr>
  </w:style>
  <w:style w:type="paragraph" w:styleId="83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character" w:styleId="843" w:customStyle="1">
    <w:name w:val="Heading 1 Char"/>
    <w:basedOn w:val="840"/>
    <w:link w:val="1010"/>
    <w:uiPriority w:val="9"/>
    <w:rPr>
      <w:rFonts w:ascii="Arial" w:hAnsi="Arial" w:eastAsia="Arial" w:cs="Arial"/>
      <w:sz w:val="40"/>
      <w:szCs w:val="40"/>
    </w:rPr>
  </w:style>
  <w:style w:type="character" w:styleId="844" w:customStyle="1">
    <w:name w:val="Heading 2 Char"/>
    <w:basedOn w:val="840"/>
    <w:link w:val="1011"/>
    <w:uiPriority w:val="9"/>
    <w:rPr>
      <w:rFonts w:ascii="Arial" w:hAnsi="Arial" w:eastAsia="Arial" w:cs="Arial"/>
      <w:sz w:val="34"/>
    </w:rPr>
  </w:style>
  <w:style w:type="character" w:styleId="845" w:customStyle="1">
    <w:name w:val="Heading 3 Char"/>
    <w:basedOn w:val="840"/>
    <w:link w:val="1012"/>
    <w:uiPriority w:val="9"/>
    <w:rPr>
      <w:rFonts w:ascii="Arial" w:hAnsi="Arial" w:eastAsia="Arial" w:cs="Arial"/>
      <w:sz w:val="30"/>
      <w:szCs w:val="30"/>
    </w:rPr>
  </w:style>
  <w:style w:type="paragraph" w:styleId="846" w:customStyle="1">
    <w:name w:val="Heading 4"/>
    <w:basedOn w:val="839"/>
    <w:next w:val="839"/>
    <w:link w:val="8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7" w:customStyle="1">
    <w:name w:val="Heading 4 Char"/>
    <w:basedOn w:val="840"/>
    <w:link w:val="846"/>
    <w:uiPriority w:val="9"/>
    <w:rPr>
      <w:rFonts w:ascii="Arial" w:hAnsi="Arial" w:eastAsia="Arial" w:cs="Arial"/>
      <w:b/>
      <w:bCs/>
      <w:sz w:val="26"/>
      <w:szCs w:val="26"/>
    </w:rPr>
  </w:style>
  <w:style w:type="paragraph" w:styleId="848" w:customStyle="1">
    <w:name w:val="Heading 5"/>
    <w:basedOn w:val="839"/>
    <w:next w:val="839"/>
    <w:link w:val="8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character" w:styleId="849" w:customStyle="1">
    <w:name w:val="Heading 5 Char"/>
    <w:basedOn w:val="840"/>
    <w:link w:val="848"/>
    <w:uiPriority w:val="9"/>
    <w:rPr>
      <w:rFonts w:ascii="Arial" w:hAnsi="Arial" w:eastAsia="Arial" w:cs="Arial"/>
      <w:b/>
      <w:bCs/>
      <w:sz w:val="24"/>
      <w:szCs w:val="24"/>
    </w:rPr>
  </w:style>
  <w:style w:type="character" w:styleId="850" w:customStyle="1">
    <w:name w:val="Heading 6 Char"/>
    <w:basedOn w:val="840"/>
    <w:link w:val="1013"/>
    <w:uiPriority w:val="9"/>
    <w:rPr>
      <w:rFonts w:ascii="Arial" w:hAnsi="Arial" w:eastAsia="Arial" w:cs="Arial"/>
      <w:b/>
      <w:bCs/>
      <w:sz w:val="22"/>
      <w:szCs w:val="22"/>
    </w:rPr>
  </w:style>
  <w:style w:type="character" w:styleId="851" w:customStyle="1">
    <w:name w:val="Heading 7 Char"/>
    <w:basedOn w:val="840"/>
    <w:link w:val="10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52" w:customStyle="1">
    <w:name w:val="Heading 8 Char"/>
    <w:basedOn w:val="840"/>
    <w:link w:val="1015"/>
    <w:uiPriority w:val="9"/>
    <w:rPr>
      <w:rFonts w:ascii="Arial" w:hAnsi="Arial" w:eastAsia="Arial" w:cs="Arial"/>
      <w:i/>
      <w:iCs/>
      <w:sz w:val="22"/>
      <w:szCs w:val="22"/>
    </w:rPr>
  </w:style>
  <w:style w:type="character" w:styleId="853" w:customStyle="1">
    <w:name w:val="Heading 9 Char"/>
    <w:basedOn w:val="840"/>
    <w:link w:val="1016"/>
    <w:uiPriority w:val="9"/>
    <w:rPr>
      <w:rFonts w:ascii="Arial" w:hAnsi="Arial" w:eastAsia="Arial" w:cs="Arial"/>
      <w:i/>
      <w:iCs/>
      <w:sz w:val="21"/>
      <w:szCs w:val="21"/>
    </w:rPr>
  </w:style>
  <w:style w:type="paragraph" w:styleId="854">
    <w:name w:val="No Spacing"/>
    <w:uiPriority w:val="1"/>
    <w:qFormat/>
    <w:pPr>
      <w:spacing w:after="0" w:line="240" w:lineRule="auto"/>
    </w:pPr>
  </w:style>
  <w:style w:type="paragraph" w:styleId="855">
    <w:name w:val="Title"/>
    <w:basedOn w:val="839"/>
    <w:next w:val="839"/>
    <w:link w:val="8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56" w:customStyle="1">
    <w:name w:val="Название Знак"/>
    <w:basedOn w:val="840"/>
    <w:link w:val="855"/>
    <w:uiPriority w:val="10"/>
    <w:rPr>
      <w:sz w:val="48"/>
      <w:szCs w:val="48"/>
    </w:rPr>
  </w:style>
  <w:style w:type="paragraph" w:styleId="857">
    <w:name w:val="Subtitle"/>
    <w:basedOn w:val="839"/>
    <w:next w:val="839"/>
    <w:link w:val="858"/>
    <w:uiPriority w:val="11"/>
    <w:qFormat/>
    <w:pPr>
      <w:spacing w:before="200" w:after="200"/>
    </w:pPr>
  </w:style>
  <w:style w:type="character" w:styleId="858" w:customStyle="1">
    <w:name w:val="Подзаголовок Знак"/>
    <w:basedOn w:val="840"/>
    <w:link w:val="857"/>
    <w:uiPriority w:val="11"/>
    <w:rPr>
      <w:sz w:val="24"/>
      <w:szCs w:val="24"/>
    </w:rPr>
  </w:style>
  <w:style w:type="paragraph" w:styleId="859">
    <w:name w:val="Quote"/>
    <w:basedOn w:val="839"/>
    <w:next w:val="839"/>
    <w:link w:val="860"/>
    <w:uiPriority w:val="29"/>
    <w:qFormat/>
    <w:pPr>
      <w:ind w:left="720" w:right="720"/>
    </w:pPr>
    <w:rPr>
      <w:i/>
    </w:rPr>
  </w:style>
  <w:style w:type="character" w:styleId="860" w:customStyle="1">
    <w:name w:val="Цитата 2 Знак"/>
    <w:link w:val="859"/>
    <w:uiPriority w:val="29"/>
    <w:rPr>
      <w:i/>
    </w:rPr>
  </w:style>
  <w:style w:type="paragraph" w:styleId="861">
    <w:name w:val="Intense Quote"/>
    <w:basedOn w:val="839"/>
    <w:next w:val="839"/>
    <w:link w:val="86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2" w:customStyle="1">
    <w:name w:val="Выделенная цитата Знак"/>
    <w:link w:val="861"/>
    <w:uiPriority w:val="30"/>
    <w:rPr>
      <w:i/>
    </w:rPr>
  </w:style>
  <w:style w:type="character" w:styleId="863" w:customStyle="1">
    <w:name w:val="Header Char"/>
    <w:basedOn w:val="840"/>
    <w:link w:val="1024"/>
    <w:uiPriority w:val="99"/>
  </w:style>
  <w:style w:type="character" w:styleId="864" w:customStyle="1">
    <w:name w:val="Footer Char"/>
    <w:basedOn w:val="840"/>
    <w:link w:val="1028"/>
    <w:uiPriority w:val="99"/>
  </w:style>
  <w:style w:type="paragraph" w:styleId="865" w:customStyle="1">
    <w:name w:val="Caption"/>
    <w:basedOn w:val="839"/>
    <w:next w:val="83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66" w:customStyle="1">
    <w:name w:val="Caption Char"/>
    <w:link w:val="1028"/>
    <w:uiPriority w:val="99"/>
  </w:style>
  <w:style w:type="table" w:styleId="867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8" w:customStyle="1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9" w:customStyle="1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0" w:customStyle="1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1" w:customStyle="1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2" w:customStyle="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6" w:customStyle="1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97" w:customStyle="1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98" w:customStyle="1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99" w:customStyle="1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900" w:customStyle="1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901" w:customStyle="1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902" w:customStyle="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03" w:customStyle="1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904" w:customStyle="1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05" w:customStyle="1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06" w:customStyle="1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907" w:customStyle="1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908" w:customStyle="1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09" w:customStyle="1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0" w:customStyle="1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911" w:customStyle="1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12" w:customStyle="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13" w:customStyle="1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14" w:customStyle="1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15" w:customStyle="1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16" w:customStyle="1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31" w:customStyle="1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932" w:customStyle="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33" w:customStyle="1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34" w:customStyle="1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35" w:customStyle="1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936" w:customStyle="1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37" w:customStyle="1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 w:customStyle="1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 w:customStyle="1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 w:customStyle="1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 w:customStyle="1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 w:customStyle="1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2" w:customStyle="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3" w:customStyle="1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4" w:customStyle="1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5" w:customStyle="1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6" w:customStyle="1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7" w:customStyle="1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8" w:customStyle="1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59" w:customStyle="1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60" w:customStyle="1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61" w:customStyle="1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62" w:customStyle="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63" w:customStyle="1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64" w:customStyle="1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65" w:customStyle="1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 w:customStyle="1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Lined - Accent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3" w:customStyle="1">
    <w:name w:val="Lined - Accent 1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74" w:customStyle="1">
    <w:name w:val="Lined - Accent 2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75" w:customStyle="1">
    <w:name w:val="Lined - Accent 3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76" w:customStyle="1">
    <w:name w:val="Lined - Accent 4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77" w:customStyle="1">
    <w:name w:val="Lined - Accent 5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78" w:customStyle="1">
    <w:name w:val="Lined - Accent 6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79" w:customStyle="1">
    <w:name w:val="Bordered &amp; Lined - Accent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80" w:customStyle="1">
    <w:name w:val="Bordered &amp; Lined - Accent 1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81" w:customStyle="1">
    <w:name w:val="Bordered &amp; Lined - Accent 2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82" w:customStyle="1">
    <w:name w:val="Bordered &amp; Lined - Accent 3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83" w:customStyle="1">
    <w:name w:val="Bordered &amp; Lined - Accent 4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84" w:customStyle="1">
    <w:name w:val="Bordered &amp; Lined - Accent 5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85" w:customStyle="1">
    <w:name w:val="Bordered &amp; Lined - Accent 6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86" w:customStyle="1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87" w:customStyle="1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88" w:customStyle="1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89" w:customStyle="1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90" w:customStyle="1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91" w:customStyle="1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92" w:customStyle="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93">
    <w:name w:val="footnote text"/>
    <w:basedOn w:val="839"/>
    <w:link w:val="994"/>
    <w:uiPriority w:val="99"/>
    <w:semiHidden/>
    <w:unhideWhenUsed/>
    <w:pPr>
      <w:spacing w:after="40"/>
    </w:pPr>
    <w:rPr>
      <w:sz w:val="18"/>
    </w:rPr>
  </w:style>
  <w:style w:type="character" w:styleId="994" w:customStyle="1">
    <w:name w:val="Текст сноски Знак"/>
    <w:link w:val="993"/>
    <w:uiPriority w:val="99"/>
    <w:rPr>
      <w:sz w:val="18"/>
    </w:rPr>
  </w:style>
  <w:style w:type="character" w:styleId="995">
    <w:name w:val="footnote reference"/>
    <w:basedOn w:val="840"/>
    <w:uiPriority w:val="99"/>
    <w:unhideWhenUsed/>
    <w:rPr>
      <w:vertAlign w:val="superscript"/>
    </w:rPr>
  </w:style>
  <w:style w:type="paragraph" w:styleId="996">
    <w:name w:val="endnote text"/>
    <w:basedOn w:val="839"/>
    <w:link w:val="997"/>
    <w:uiPriority w:val="99"/>
    <w:semiHidden/>
    <w:unhideWhenUsed/>
    <w:rPr>
      <w:sz w:val="20"/>
    </w:rPr>
  </w:style>
  <w:style w:type="character" w:styleId="997" w:customStyle="1">
    <w:name w:val="Текст концевой сноски Знак"/>
    <w:link w:val="996"/>
    <w:uiPriority w:val="99"/>
    <w:rPr>
      <w:sz w:val="20"/>
    </w:rPr>
  </w:style>
  <w:style w:type="character" w:styleId="998">
    <w:name w:val="endnote reference"/>
    <w:basedOn w:val="840"/>
    <w:uiPriority w:val="99"/>
    <w:semiHidden/>
    <w:unhideWhenUsed/>
    <w:rPr>
      <w:vertAlign w:val="superscript"/>
    </w:rPr>
  </w:style>
  <w:style w:type="paragraph" w:styleId="999">
    <w:name w:val="toc 1"/>
    <w:basedOn w:val="839"/>
    <w:next w:val="839"/>
    <w:uiPriority w:val="39"/>
    <w:unhideWhenUsed/>
    <w:pPr>
      <w:spacing w:after="57"/>
    </w:pPr>
  </w:style>
  <w:style w:type="paragraph" w:styleId="1000">
    <w:name w:val="toc 2"/>
    <w:basedOn w:val="839"/>
    <w:next w:val="839"/>
    <w:uiPriority w:val="39"/>
    <w:unhideWhenUsed/>
    <w:pPr>
      <w:ind w:left="283"/>
      <w:spacing w:after="57"/>
    </w:pPr>
  </w:style>
  <w:style w:type="paragraph" w:styleId="1001">
    <w:name w:val="toc 3"/>
    <w:basedOn w:val="839"/>
    <w:next w:val="839"/>
    <w:uiPriority w:val="39"/>
    <w:unhideWhenUsed/>
    <w:pPr>
      <w:ind w:left="567"/>
      <w:spacing w:after="57"/>
    </w:pPr>
  </w:style>
  <w:style w:type="paragraph" w:styleId="1002">
    <w:name w:val="toc 4"/>
    <w:basedOn w:val="839"/>
    <w:next w:val="839"/>
    <w:uiPriority w:val="39"/>
    <w:unhideWhenUsed/>
    <w:pPr>
      <w:ind w:left="850"/>
      <w:spacing w:after="57"/>
    </w:pPr>
  </w:style>
  <w:style w:type="paragraph" w:styleId="1003">
    <w:name w:val="toc 5"/>
    <w:basedOn w:val="839"/>
    <w:next w:val="839"/>
    <w:uiPriority w:val="39"/>
    <w:unhideWhenUsed/>
    <w:pPr>
      <w:ind w:left="1134"/>
      <w:spacing w:after="57"/>
    </w:pPr>
  </w:style>
  <w:style w:type="paragraph" w:styleId="1004">
    <w:name w:val="toc 6"/>
    <w:basedOn w:val="839"/>
    <w:next w:val="839"/>
    <w:uiPriority w:val="39"/>
    <w:unhideWhenUsed/>
    <w:pPr>
      <w:ind w:left="1417"/>
      <w:spacing w:after="57"/>
    </w:pPr>
  </w:style>
  <w:style w:type="paragraph" w:styleId="1005">
    <w:name w:val="toc 7"/>
    <w:basedOn w:val="839"/>
    <w:next w:val="839"/>
    <w:uiPriority w:val="39"/>
    <w:unhideWhenUsed/>
    <w:pPr>
      <w:ind w:left="1701"/>
      <w:spacing w:after="57"/>
    </w:pPr>
  </w:style>
  <w:style w:type="paragraph" w:styleId="1006">
    <w:name w:val="toc 8"/>
    <w:basedOn w:val="839"/>
    <w:next w:val="839"/>
    <w:uiPriority w:val="39"/>
    <w:unhideWhenUsed/>
    <w:pPr>
      <w:ind w:left="1984"/>
      <w:spacing w:after="57"/>
    </w:pPr>
  </w:style>
  <w:style w:type="paragraph" w:styleId="1007">
    <w:name w:val="toc 9"/>
    <w:basedOn w:val="839"/>
    <w:next w:val="839"/>
    <w:uiPriority w:val="39"/>
    <w:unhideWhenUsed/>
    <w:pPr>
      <w:ind w:left="2268"/>
      <w:spacing w:after="57"/>
    </w:pPr>
  </w:style>
  <w:style w:type="paragraph" w:styleId="1008">
    <w:name w:val="TOC Heading"/>
    <w:uiPriority w:val="39"/>
    <w:unhideWhenUsed/>
  </w:style>
  <w:style w:type="paragraph" w:styleId="1009">
    <w:name w:val="table of figures"/>
    <w:basedOn w:val="839"/>
    <w:next w:val="839"/>
    <w:uiPriority w:val="99"/>
    <w:unhideWhenUsed/>
  </w:style>
  <w:style w:type="paragraph" w:styleId="1010" w:customStyle="1">
    <w:name w:val="Heading 1"/>
    <w:basedOn w:val="839"/>
    <w:next w:val="839"/>
    <w:link w:val="1017"/>
    <w:qFormat/>
    <w:pPr>
      <w:numPr>
        <w:ilvl w:val="0"/>
        <w:numId w:val="1"/>
      </w:numPr>
      <w:jc w:val="center"/>
      <w:keepNext/>
      <w:spacing w:before="240" w:after="60"/>
      <w:outlineLvl w:val="0"/>
    </w:pPr>
    <w:rPr>
      <w:b/>
      <w:sz w:val="36"/>
      <w:szCs w:val="20"/>
    </w:rPr>
  </w:style>
  <w:style w:type="paragraph" w:styleId="1011" w:customStyle="1">
    <w:name w:val="Heading 2"/>
    <w:basedOn w:val="839"/>
    <w:next w:val="839"/>
    <w:link w:val="1018"/>
    <w:qFormat/>
    <w:pPr>
      <w:numPr>
        <w:ilvl w:val="1"/>
        <w:numId w:val="1"/>
      </w:numPr>
      <w:jc w:val="center"/>
      <w:keepNext/>
      <w:spacing w:after="60"/>
      <w:outlineLvl w:val="1"/>
    </w:pPr>
    <w:rPr>
      <w:b/>
      <w:sz w:val="30"/>
      <w:szCs w:val="20"/>
    </w:rPr>
  </w:style>
  <w:style w:type="paragraph" w:styleId="1012" w:customStyle="1">
    <w:name w:val="Heading 3"/>
    <w:basedOn w:val="839"/>
    <w:next w:val="839"/>
    <w:link w:val="1032"/>
    <w:uiPriority w:val="9"/>
    <w:semiHidden/>
    <w:unhideWhenUsed/>
    <w:qFormat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1013" w:customStyle="1">
    <w:name w:val="Heading 6"/>
    <w:basedOn w:val="839"/>
    <w:next w:val="839"/>
    <w:link w:val="1019"/>
    <w:qFormat/>
    <w:pPr>
      <w:numPr>
        <w:ilvl w:val="5"/>
        <w:numId w:val="1"/>
      </w:numPr>
      <w:jc w:val="both"/>
      <w:spacing w:before="240" w:after="60"/>
      <w:outlineLvl w:val="5"/>
    </w:pPr>
    <w:rPr>
      <w:i/>
      <w:sz w:val="20"/>
      <w:szCs w:val="20"/>
    </w:rPr>
  </w:style>
  <w:style w:type="paragraph" w:styleId="1014" w:customStyle="1">
    <w:name w:val="Heading 7"/>
    <w:basedOn w:val="839"/>
    <w:next w:val="839"/>
    <w:link w:val="1020"/>
    <w:qFormat/>
    <w:pPr>
      <w:numPr>
        <w:ilvl w:val="6"/>
        <w:numId w:val="1"/>
      </w:numPr>
      <w:jc w:val="both"/>
      <w:spacing w:before="240" w:after="60"/>
      <w:outlineLvl w:val="6"/>
    </w:pPr>
    <w:rPr>
      <w:rFonts w:ascii="Arial" w:hAnsi="Arial"/>
      <w:sz w:val="20"/>
      <w:szCs w:val="20"/>
    </w:rPr>
  </w:style>
  <w:style w:type="paragraph" w:styleId="1015" w:customStyle="1">
    <w:name w:val="Heading 8"/>
    <w:basedOn w:val="839"/>
    <w:next w:val="839"/>
    <w:link w:val="1021"/>
    <w:qFormat/>
    <w:pPr>
      <w:numPr>
        <w:ilvl w:val="7"/>
        <w:numId w:val="1"/>
      </w:numPr>
      <w:jc w:val="both"/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1016" w:customStyle="1">
    <w:name w:val="Heading 9"/>
    <w:basedOn w:val="839"/>
    <w:next w:val="839"/>
    <w:link w:val="1022"/>
    <w:qFormat/>
    <w:pPr>
      <w:numPr>
        <w:ilvl w:val="8"/>
        <w:numId w:val="1"/>
      </w:numPr>
      <w:jc w:val="both"/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styleId="1017" w:customStyle="1">
    <w:name w:val="Заголовок 1 Знак"/>
    <w:basedOn w:val="840"/>
    <w:link w:val="1010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character" w:styleId="1018" w:customStyle="1">
    <w:name w:val="Заголовок 2 Знак"/>
    <w:basedOn w:val="840"/>
    <w:link w:val="1011"/>
    <w:rPr>
      <w:rFonts w:ascii="Times New Roman" w:hAnsi="Times New Roman" w:eastAsia="Times New Roman" w:cs="Times New Roman"/>
      <w:b/>
      <w:sz w:val="30"/>
      <w:szCs w:val="20"/>
      <w:lang w:eastAsia="ru-RU"/>
    </w:rPr>
  </w:style>
  <w:style w:type="character" w:styleId="1019" w:customStyle="1">
    <w:name w:val="Заголовок 6 Знак"/>
    <w:basedOn w:val="840"/>
    <w:link w:val="1013"/>
    <w:rPr>
      <w:rFonts w:ascii="Times New Roman" w:hAnsi="Times New Roman" w:eastAsia="Times New Roman" w:cs="Times New Roman"/>
      <w:i/>
      <w:sz w:val="20"/>
      <w:szCs w:val="20"/>
      <w:lang w:eastAsia="ru-RU"/>
    </w:rPr>
  </w:style>
  <w:style w:type="character" w:styleId="1020" w:customStyle="1">
    <w:name w:val="Заголовок 7 Знак"/>
    <w:basedOn w:val="840"/>
    <w:link w:val="1014"/>
    <w:rPr>
      <w:rFonts w:ascii="Arial" w:hAnsi="Arial" w:eastAsia="Times New Roman" w:cs="Times New Roman"/>
      <w:sz w:val="20"/>
      <w:szCs w:val="20"/>
      <w:lang w:eastAsia="ru-RU"/>
    </w:rPr>
  </w:style>
  <w:style w:type="character" w:styleId="1021" w:customStyle="1">
    <w:name w:val="Заголовок 8 Знак"/>
    <w:basedOn w:val="840"/>
    <w:link w:val="1015"/>
    <w:rPr>
      <w:rFonts w:ascii="Arial" w:hAnsi="Arial" w:eastAsia="Times New Roman" w:cs="Times New Roman"/>
      <w:i/>
      <w:sz w:val="20"/>
      <w:szCs w:val="20"/>
      <w:lang w:eastAsia="ru-RU"/>
    </w:rPr>
  </w:style>
  <w:style w:type="character" w:styleId="1022" w:customStyle="1">
    <w:name w:val="Заголовок 9 Знак"/>
    <w:basedOn w:val="840"/>
    <w:link w:val="1016"/>
    <w:rPr>
      <w:rFonts w:ascii="Arial" w:hAnsi="Arial" w:eastAsia="Times New Roman" w:cs="Times New Roman"/>
      <w:b/>
      <w:i/>
      <w:sz w:val="18"/>
      <w:szCs w:val="20"/>
      <w:lang w:eastAsia="ru-RU"/>
    </w:rPr>
  </w:style>
  <w:style w:type="paragraph" w:styleId="1023">
    <w:name w:val="List Paragraph"/>
    <w:basedOn w:val="839"/>
    <w:uiPriority w:val="34"/>
    <w:qFormat/>
    <w:pPr>
      <w:contextualSpacing/>
      <w:ind w:left="720"/>
    </w:pPr>
  </w:style>
  <w:style w:type="paragraph" w:styleId="1024" w:customStyle="1">
    <w:name w:val="Header"/>
    <w:basedOn w:val="839"/>
    <w:link w:val="102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25" w:customStyle="1">
    <w:name w:val="Верхний колонтитул Знак"/>
    <w:basedOn w:val="840"/>
    <w:link w:val="102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6">
    <w:name w:val="Balloon Text"/>
    <w:basedOn w:val="839"/>
    <w:link w:val="102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27" w:customStyle="1">
    <w:name w:val="Текст выноски Знак"/>
    <w:basedOn w:val="840"/>
    <w:link w:val="102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1028" w:customStyle="1">
    <w:name w:val="Footer"/>
    <w:basedOn w:val="839"/>
    <w:link w:val="102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29" w:customStyle="1">
    <w:name w:val="Нижний колонтитул Знак"/>
    <w:basedOn w:val="840"/>
    <w:link w:val="102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30">
    <w:name w:val="Hyperlink"/>
    <w:basedOn w:val="840"/>
    <w:uiPriority w:val="99"/>
    <w:unhideWhenUsed/>
    <w:rPr>
      <w:color w:val="0563c1" w:themeColor="hyperlink"/>
      <w:u w:val="single"/>
    </w:rPr>
  </w:style>
  <w:style w:type="paragraph" w:styleId="1031">
    <w:name w:val="Revision"/>
    <w:hidden/>
    <w:uiPriority w:val="99"/>
    <w:semiHidden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32" w:customStyle="1">
    <w:name w:val="Заголовок 3 Знак"/>
    <w:basedOn w:val="840"/>
    <w:link w:val="1012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 Артем Александрович</dc:creator>
  <cp:revision>14</cp:revision>
  <dcterms:created xsi:type="dcterms:W3CDTF">2023-11-10T11:38:00Z</dcterms:created>
  <dcterms:modified xsi:type="dcterms:W3CDTF">2023-12-15T11:30:21Z</dcterms:modified>
</cp:coreProperties>
</file>